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420"/>
        </w:tabs>
        <w:kinsoku/>
        <w:wordWrap/>
        <w:overflowPunct/>
        <w:topLinePunct w:val="0"/>
        <w:autoSpaceDE/>
        <w:autoSpaceDN/>
        <w:bidi w:val="0"/>
        <w:adjustRightInd/>
        <w:snapToGrid/>
        <w:spacing w:before="604" w:beforeLines="211" w:beforeAutospacing="0" w:after="431" w:afterLines="150" w:afterAutospacing="0" w:line="900" w:lineRule="exact"/>
        <w:jc w:val="center"/>
        <w:textAlignment w:val="auto"/>
        <w:rPr>
          <w:rFonts w:hint="eastAsia" w:ascii="宋体" w:hAnsi="宋体" w:eastAsia="宋体"/>
          <w:b/>
          <w:bCs/>
          <w:sz w:val="56"/>
          <w:highlight w:val="none"/>
          <w:lang w:eastAsia="zh-CN"/>
        </w:rPr>
      </w:pPr>
      <w:r>
        <w:rPr>
          <w:rFonts w:hint="eastAsia" w:ascii="宋体" w:hAnsi="宋体"/>
          <w:b/>
          <w:bCs/>
          <w:sz w:val="56"/>
          <w:highlight w:val="none"/>
          <w:lang w:eastAsia="zh-CN"/>
        </w:rPr>
        <w:t>亳州学院2024至2026年度项目采购代理机构</w:t>
      </w:r>
      <w:r>
        <w:rPr>
          <w:rFonts w:hint="eastAsia" w:ascii="宋体" w:hAnsi="宋体"/>
          <w:b/>
          <w:bCs/>
          <w:sz w:val="56"/>
          <w:highlight w:val="none"/>
          <w:lang w:val="en-US" w:eastAsia="zh-CN"/>
        </w:rPr>
        <w:t>服务</w:t>
      </w:r>
      <w:r>
        <w:rPr>
          <w:rFonts w:hint="eastAsia" w:ascii="宋体" w:hAnsi="宋体"/>
          <w:b/>
          <w:bCs/>
          <w:sz w:val="56"/>
          <w:highlight w:val="none"/>
          <w:lang w:eastAsia="zh-CN"/>
        </w:rPr>
        <w:t>项目比选文件</w:t>
      </w:r>
    </w:p>
    <w:p>
      <w:pPr>
        <w:tabs>
          <w:tab w:val="left" w:pos="420"/>
        </w:tabs>
        <w:spacing w:line="1700" w:lineRule="exact"/>
        <w:jc w:val="center"/>
        <w:rPr>
          <w:rFonts w:ascii="宋体" w:hAnsi="宋体"/>
          <w:b/>
          <w:bCs/>
          <w:sz w:val="52"/>
          <w:szCs w:val="52"/>
          <w:highlight w:val="none"/>
        </w:rPr>
      </w:pPr>
    </w:p>
    <w:p>
      <w:pPr>
        <w:tabs>
          <w:tab w:val="left" w:pos="315"/>
          <w:tab w:val="left" w:pos="8820"/>
        </w:tabs>
        <w:spacing w:before="240" w:beforeLines="100" w:after="120" w:afterLines="50" w:line="500" w:lineRule="exact"/>
        <w:ind w:right="267" w:rightChars="127"/>
        <w:jc w:val="center"/>
        <w:rPr>
          <w:rFonts w:ascii="宋体" w:hAnsi="宋体"/>
          <w:b/>
          <w:bCs/>
          <w:sz w:val="44"/>
          <w:szCs w:val="44"/>
          <w:highlight w:val="none"/>
        </w:rPr>
      </w:pPr>
    </w:p>
    <w:p>
      <w:pPr>
        <w:spacing w:line="360" w:lineRule="auto"/>
        <w:jc w:val="center"/>
        <w:rPr>
          <w:rFonts w:ascii="宋体" w:hAnsi="宋体"/>
          <w:b/>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b/>
          <w:bCs/>
          <w:sz w:val="44"/>
          <w:szCs w:val="44"/>
          <w:highlight w:val="none"/>
        </w:rPr>
      </w:pPr>
    </w:p>
    <w:p>
      <w:pPr>
        <w:tabs>
          <w:tab w:val="left" w:pos="315"/>
          <w:tab w:val="left" w:pos="8820"/>
        </w:tabs>
        <w:spacing w:before="240" w:beforeLines="100" w:after="120" w:afterLines="50" w:line="500" w:lineRule="exact"/>
        <w:ind w:right="267" w:rightChars="127"/>
        <w:jc w:val="center"/>
        <w:rPr>
          <w:rFonts w:ascii="宋体" w:hAnsi="宋体"/>
          <w:b/>
          <w:bCs/>
          <w:sz w:val="44"/>
          <w:szCs w:val="44"/>
          <w:highlight w:val="none"/>
        </w:rPr>
      </w:pPr>
    </w:p>
    <w:p>
      <w:pPr>
        <w:spacing w:line="360" w:lineRule="auto"/>
        <w:ind w:firstLine="682" w:firstLineChars="200"/>
        <w:rPr>
          <w:rFonts w:ascii="宋体" w:hAnsi="宋体"/>
          <w:b/>
          <w:spacing w:val="20"/>
          <w:kern w:val="0"/>
          <w:sz w:val="30"/>
          <w:szCs w:val="30"/>
          <w:highlight w:val="none"/>
        </w:rPr>
      </w:pPr>
    </w:p>
    <w:p>
      <w:pPr>
        <w:tabs>
          <w:tab w:val="left" w:pos="2410"/>
        </w:tabs>
        <w:autoSpaceDE w:val="0"/>
        <w:autoSpaceDN w:val="0"/>
        <w:adjustRightInd w:val="0"/>
        <w:snapToGrid w:val="0"/>
        <w:spacing w:line="360" w:lineRule="auto"/>
        <w:ind w:left="2468" w:leftChars="343" w:right="548" w:rightChars="261" w:hanging="1748" w:hangingChars="484"/>
        <w:rPr>
          <w:rFonts w:ascii="宋体" w:hAnsi="宋体"/>
          <w:b/>
          <w:spacing w:val="20"/>
          <w:kern w:val="0"/>
          <w:sz w:val="32"/>
          <w:szCs w:val="32"/>
          <w:highlight w:val="none"/>
        </w:rPr>
      </w:pPr>
      <w:r>
        <w:rPr>
          <w:rFonts w:hint="eastAsia" w:ascii="宋体" w:hAnsi="宋体"/>
          <w:b/>
          <w:spacing w:val="20"/>
          <w:kern w:val="0"/>
          <w:sz w:val="32"/>
          <w:szCs w:val="32"/>
          <w:highlight w:val="none"/>
        </w:rPr>
        <w:t>项目名称：</w:t>
      </w:r>
      <w:r>
        <w:rPr>
          <w:rFonts w:hint="eastAsia" w:ascii="宋体" w:hAnsi="宋体"/>
          <w:b/>
          <w:spacing w:val="20"/>
          <w:kern w:val="0"/>
          <w:sz w:val="32"/>
          <w:szCs w:val="32"/>
          <w:highlight w:val="none"/>
          <w:u w:val="single"/>
          <w:lang w:eastAsia="zh-CN"/>
        </w:rPr>
        <w:t>亳州学院2024至2026年度项目采购代理机构服务项目</w:t>
      </w:r>
    </w:p>
    <w:p>
      <w:pPr>
        <w:tabs>
          <w:tab w:val="left" w:pos="2410"/>
        </w:tabs>
        <w:autoSpaceDE w:val="0"/>
        <w:autoSpaceDN w:val="0"/>
        <w:adjustRightInd w:val="0"/>
        <w:snapToGrid w:val="0"/>
        <w:spacing w:line="360" w:lineRule="auto"/>
        <w:ind w:left="0" w:leftChars="0" w:firstLine="723" w:firstLineChars="200"/>
        <w:rPr>
          <w:rFonts w:hint="default" w:ascii="宋体" w:hAnsi="宋体" w:eastAsia="宋体"/>
          <w:b/>
          <w:spacing w:val="20"/>
          <w:kern w:val="0"/>
          <w:sz w:val="32"/>
          <w:szCs w:val="32"/>
          <w:highlight w:val="yellow"/>
          <w:lang w:val="en-US" w:eastAsia="zh-CN"/>
        </w:rPr>
      </w:pPr>
      <w:r>
        <w:rPr>
          <w:rFonts w:hint="eastAsia" w:ascii="宋体" w:hAnsi="宋体"/>
          <w:b/>
          <w:spacing w:val="20"/>
          <w:kern w:val="0"/>
          <w:sz w:val="32"/>
          <w:szCs w:val="32"/>
          <w:highlight w:val="yellow"/>
        </w:rPr>
        <w:t>项目编号：</w:t>
      </w:r>
      <w:r>
        <w:rPr>
          <w:rFonts w:hint="eastAsia" w:ascii="宋体" w:hAnsi="宋体"/>
          <w:b/>
          <w:spacing w:val="20"/>
          <w:kern w:val="0"/>
          <w:sz w:val="32"/>
          <w:szCs w:val="32"/>
          <w:highlight w:val="yellow"/>
          <w:lang w:val="en-US" w:eastAsia="zh-CN"/>
        </w:rPr>
        <w:t>BZXYCG[2024]001号</w:t>
      </w:r>
    </w:p>
    <w:p>
      <w:pPr>
        <w:tabs>
          <w:tab w:val="left" w:pos="2410"/>
        </w:tabs>
        <w:autoSpaceDE w:val="0"/>
        <w:autoSpaceDN w:val="0"/>
        <w:adjustRightInd w:val="0"/>
        <w:snapToGrid w:val="0"/>
        <w:spacing w:line="360" w:lineRule="auto"/>
        <w:ind w:left="0" w:leftChars="0" w:firstLine="723" w:firstLineChars="200"/>
        <w:rPr>
          <w:rFonts w:hint="eastAsia" w:ascii="宋体" w:hAnsi="宋体" w:eastAsia="宋体"/>
          <w:b/>
          <w:spacing w:val="20"/>
          <w:kern w:val="0"/>
          <w:sz w:val="32"/>
          <w:szCs w:val="32"/>
          <w:highlight w:val="none"/>
          <w:lang w:eastAsia="zh-CN"/>
        </w:rPr>
      </w:pPr>
      <w:r>
        <w:rPr>
          <w:rFonts w:hint="eastAsia" w:ascii="宋体" w:hAnsi="宋体"/>
          <w:b/>
          <w:spacing w:val="20"/>
          <w:kern w:val="0"/>
          <w:sz w:val="32"/>
          <w:szCs w:val="32"/>
          <w:highlight w:val="none"/>
        </w:rPr>
        <w:t>采 购 人：</w:t>
      </w:r>
      <w:r>
        <w:rPr>
          <w:rFonts w:hint="eastAsia" w:ascii="宋体" w:hAnsi="宋体"/>
          <w:b/>
          <w:spacing w:val="20"/>
          <w:kern w:val="0"/>
          <w:sz w:val="32"/>
          <w:szCs w:val="32"/>
          <w:highlight w:val="none"/>
          <w:lang w:eastAsia="zh-CN"/>
        </w:rPr>
        <w:t>亳州学院</w:t>
      </w:r>
    </w:p>
    <w:p>
      <w:pPr>
        <w:tabs>
          <w:tab w:val="left" w:pos="2410"/>
        </w:tabs>
        <w:autoSpaceDE w:val="0"/>
        <w:autoSpaceDN w:val="0"/>
        <w:adjustRightInd w:val="0"/>
        <w:snapToGrid w:val="0"/>
        <w:spacing w:line="360" w:lineRule="auto"/>
        <w:ind w:left="0" w:leftChars="0" w:firstLine="723" w:firstLineChars="200"/>
        <w:rPr>
          <w:rFonts w:ascii="宋体" w:hAnsi="宋体"/>
          <w:b/>
          <w:spacing w:val="20"/>
          <w:kern w:val="0"/>
          <w:sz w:val="32"/>
          <w:szCs w:val="32"/>
          <w:highlight w:val="yellow"/>
        </w:rPr>
      </w:pPr>
      <w:r>
        <w:rPr>
          <w:rFonts w:hint="eastAsia" w:ascii="宋体" w:hAnsi="宋体"/>
          <w:b/>
          <w:spacing w:val="20"/>
          <w:kern w:val="0"/>
          <w:sz w:val="32"/>
          <w:szCs w:val="32"/>
          <w:highlight w:val="none"/>
        </w:rPr>
        <w:t>采购时间：二零二</w:t>
      </w:r>
      <w:r>
        <w:rPr>
          <w:rFonts w:hint="eastAsia" w:ascii="宋体" w:hAnsi="宋体"/>
          <w:b/>
          <w:spacing w:val="20"/>
          <w:kern w:val="0"/>
          <w:sz w:val="32"/>
          <w:szCs w:val="32"/>
          <w:highlight w:val="none"/>
          <w:lang w:val="en-US" w:eastAsia="zh-CN"/>
        </w:rPr>
        <w:t>四</w:t>
      </w:r>
      <w:r>
        <w:rPr>
          <w:rFonts w:hint="eastAsia" w:ascii="宋体" w:hAnsi="宋体"/>
          <w:b/>
          <w:spacing w:val="20"/>
          <w:kern w:val="0"/>
          <w:sz w:val="32"/>
          <w:szCs w:val="32"/>
          <w:highlight w:val="none"/>
        </w:rPr>
        <w:t>年</w:t>
      </w:r>
      <w:r>
        <w:rPr>
          <w:rFonts w:hint="eastAsia" w:ascii="宋体" w:hAnsi="宋体"/>
          <w:b/>
          <w:spacing w:val="20"/>
          <w:kern w:val="0"/>
          <w:sz w:val="32"/>
          <w:szCs w:val="32"/>
          <w:highlight w:val="none"/>
          <w:lang w:val="en-US" w:eastAsia="zh-CN"/>
        </w:rPr>
        <w:t>一</w:t>
      </w:r>
      <w:r>
        <w:rPr>
          <w:rFonts w:hint="eastAsia" w:ascii="宋体" w:hAnsi="宋体"/>
          <w:b/>
          <w:spacing w:val="20"/>
          <w:kern w:val="0"/>
          <w:sz w:val="32"/>
          <w:szCs w:val="32"/>
          <w:highlight w:val="yellow"/>
        </w:rPr>
        <w:t>月</w:t>
      </w:r>
    </w:p>
    <w:p>
      <w:pPr>
        <w:pStyle w:val="4"/>
        <w:rPr>
          <w:rFonts w:hint="eastAsia" w:ascii="宋体" w:hAnsi="宋体" w:eastAsia="宋体" w:cs="宋体"/>
          <w:sz w:val="44"/>
          <w:highlight w:val="cyan"/>
        </w:rPr>
      </w:pPr>
      <w:r>
        <w:rPr>
          <w:spacing w:val="20"/>
          <w:kern w:val="0"/>
          <w:sz w:val="36"/>
          <w:szCs w:val="36"/>
          <w:highlight w:val="cyan"/>
        </w:rPr>
        <w:br w:type="page"/>
      </w:r>
      <w:bookmarkStart w:id="0" w:name="_Toc28722"/>
      <w:bookmarkStart w:id="1" w:name="_Toc46018283"/>
      <w:bookmarkStart w:id="2" w:name="_Toc154731040"/>
      <w:r>
        <w:rPr>
          <w:rFonts w:hint="eastAsia" w:ascii="宋体" w:hAnsi="宋体" w:eastAsia="宋体" w:cs="宋体"/>
          <w:sz w:val="44"/>
          <w:highlight w:val="none"/>
        </w:rPr>
        <w:t>目  录</w:t>
      </w:r>
      <w:bookmarkEnd w:id="0"/>
      <w:bookmarkEnd w:id="1"/>
      <w:bookmarkEnd w:id="2"/>
    </w:p>
    <w:p>
      <w:pPr>
        <w:spacing w:line="240" w:lineRule="exact"/>
        <w:jc w:val="center"/>
        <w:rPr>
          <w:sz w:val="18"/>
          <w:szCs w:val="18"/>
          <w:highlight w:val="cyan"/>
        </w:rPr>
      </w:pP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bookmarkStart w:id="3" w:name="_Toc45642380"/>
      <w:r>
        <w:rPr>
          <w:rFonts w:hint="eastAsia" w:ascii="宋体" w:hAnsi="宋体" w:eastAsia="宋体" w:cs="宋体"/>
          <w:sz w:val="28"/>
          <w:szCs w:val="28"/>
          <w:highlight w:val="cyan"/>
        </w:rPr>
        <w:fldChar w:fldCharType="begin"/>
      </w:r>
      <w:r>
        <w:rPr>
          <w:rFonts w:hint="eastAsia" w:ascii="宋体" w:hAnsi="宋体" w:eastAsia="宋体" w:cs="宋体"/>
          <w:sz w:val="28"/>
          <w:szCs w:val="28"/>
          <w:highlight w:val="cyan"/>
        </w:rPr>
        <w:instrText xml:space="preserve">TOC \o "1-2" \h \u </w:instrText>
      </w:r>
      <w:r>
        <w:rPr>
          <w:rFonts w:hint="eastAsia" w:ascii="宋体" w:hAnsi="宋体" w:eastAsia="宋体" w:cs="宋体"/>
          <w:sz w:val="28"/>
          <w:szCs w:val="28"/>
          <w:highlight w:val="cyan"/>
        </w:rPr>
        <w:fldChar w:fldCharType="separate"/>
      </w: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_Toc24631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 xml:space="preserve">第一章 </w:t>
      </w:r>
      <w:r>
        <w:rPr>
          <w:rFonts w:hint="eastAsia" w:ascii="宋体" w:hAnsi="宋体" w:cs="宋体"/>
          <w:b/>
          <w:bCs/>
          <w:sz w:val="28"/>
          <w:szCs w:val="28"/>
          <w:highlight w:val="none"/>
          <w:lang w:eastAsia="zh-CN"/>
        </w:rPr>
        <w:t>比选</w:t>
      </w:r>
      <w:r>
        <w:rPr>
          <w:rFonts w:hint="eastAsia" w:ascii="宋体" w:hAnsi="宋体" w:eastAsia="宋体" w:cs="宋体"/>
          <w:b/>
          <w:bCs/>
          <w:sz w:val="28"/>
          <w:szCs w:val="28"/>
          <w:highlight w:val="none"/>
        </w:rPr>
        <w:t>公告</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_Toc24631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_Toc1069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第二章 供应商须知</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_Toc1069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5</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_Toc6707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第三章 采购需求</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_Toc6707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14</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_Toc23408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bidi="ar"/>
        </w:rPr>
        <w:t>第四章 评审方法和标准</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_Toc23408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18</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_Toc9852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第五章 采购合同</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_Toc9852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27</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_Toc9152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第六章 响应文件格式</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_Toc9152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28</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_Toc12461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一、</w:t>
      </w:r>
      <w:r>
        <w:rPr>
          <w:rFonts w:hint="eastAsia" w:ascii="宋体" w:hAnsi="宋体" w:eastAsia="宋体" w:cs="宋体"/>
          <w:b/>
          <w:bCs/>
          <w:sz w:val="28"/>
          <w:szCs w:val="28"/>
          <w:highlight w:val="none"/>
          <w:lang w:bidi="ar"/>
        </w:rPr>
        <w:t>响应函</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_Toc12461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30</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_Toc23527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lang w:val="en-US" w:eastAsia="zh-CN"/>
        </w:rPr>
        <w:t>二、响应</w:t>
      </w:r>
      <w:r>
        <w:rPr>
          <w:rFonts w:hint="eastAsia" w:ascii="宋体" w:hAnsi="宋体" w:eastAsia="宋体" w:cs="宋体"/>
          <w:b/>
          <w:bCs/>
          <w:sz w:val="28"/>
          <w:szCs w:val="28"/>
        </w:rPr>
        <w:t>报价表</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_Toc23527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31</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_Toc933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val="en-US" w:eastAsia="zh-CN"/>
        </w:rPr>
        <w:t>三</w:t>
      </w:r>
      <w:r>
        <w:rPr>
          <w:rFonts w:hint="eastAsia" w:ascii="宋体" w:hAnsi="宋体" w:eastAsia="宋体" w:cs="宋体"/>
          <w:b/>
          <w:bCs/>
          <w:sz w:val="28"/>
          <w:szCs w:val="28"/>
          <w:highlight w:val="none"/>
          <w:lang w:bidi="ar"/>
        </w:rPr>
        <w:t>、无重大违法记录声明函、无不良信用记录声明函</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_Toc933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32</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_Toc29141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val="en-US" w:eastAsia="zh-CN" w:bidi="ar"/>
        </w:rPr>
        <w:t>四</w:t>
      </w:r>
      <w:r>
        <w:rPr>
          <w:rFonts w:hint="eastAsia" w:ascii="宋体" w:hAnsi="宋体" w:eastAsia="宋体" w:cs="宋体"/>
          <w:b/>
          <w:bCs/>
          <w:sz w:val="28"/>
          <w:szCs w:val="28"/>
          <w:highlight w:val="none"/>
          <w:lang w:bidi="ar"/>
        </w:rPr>
        <w:t>、授权</w:t>
      </w:r>
      <w:r>
        <w:rPr>
          <w:rFonts w:hint="eastAsia" w:ascii="宋体" w:hAnsi="宋体" w:eastAsia="宋体" w:cs="宋体"/>
          <w:b/>
          <w:bCs/>
          <w:sz w:val="28"/>
          <w:szCs w:val="28"/>
          <w:highlight w:val="none"/>
          <w:lang w:val="en-US" w:eastAsia="zh-CN" w:bidi="ar"/>
        </w:rPr>
        <w:t>委托</w:t>
      </w:r>
      <w:r>
        <w:rPr>
          <w:rFonts w:hint="eastAsia" w:ascii="宋体" w:hAnsi="宋体" w:eastAsia="宋体" w:cs="宋体"/>
          <w:b/>
          <w:bCs/>
          <w:sz w:val="28"/>
          <w:szCs w:val="28"/>
          <w:highlight w:val="none"/>
          <w:lang w:bidi="ar"/>
        </w:rPr>
        <w:t>书</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_Toc29141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33</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_Toc4599 </w:instrText>
      </w:r>
      <w:r>
        <w:rPr>
          <w:rFonts w:hint="eastAsia" w:ascii="宋体" w:hAnsi="宋体" w:eastAsia="宋体" w:cs="宋体"/>
          <w:b/>
          <w:bCs/>
          <w:sz w:val="28"/>
          <w:szCs w:val="28"/>
          <w:highlight w:val="cyan"/>
        </w:rPr>
        <w:fldChar w:fldCharType="separate"/>
      </w:r>
      <w:r>
        <w:rPr>
          <w:rFonts w:hint="eastAsia" w:ascii="宋体" w:hAnsi="宋体" w:eastAsia="宋体" w:cs="宋体"/>
          <w:b/>
          <w:bCs/>
          <w:kern w:val="2"/>
          <w:sz w:val="28"/>
          <w:szCs w:val="28"/>
          <w:lang w:val="en-US" w:eastAsia="zh-CN" w:bidi="ar-SA"/>
        </w:rPr>
        <w:t>五、</w:t>
      </w:r>
      <w:r>
        <w:rPr>
          <w:rFonts w:hint="eastAsia" w:ascii="宋体" w:hAnsi="宋体" w:eastAsia="宋体" w:cs="宋体"/>
          <w:b/>
          <w:bCs/>
          <w:sz w:val="28"/>
          <w:szCs w:val="28"/>
          <w:highlight w:val="none"/>
        </w:rPr>
        <w:t>响应表</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_Toc4599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34</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_Toc24747 </w:instrText>
      </w:r>
      <w:r>
        <w:rPr>
          <w:rFonts w:hint="eastAsia" w:ascii="宋体" w:hAnsi="宋体" w:eastAsia="宋体" w:cs="宋体"/>
          <w:b/>
          <w:bCs/>
          <w:sz w:val="28"/>
          <w:szCs w:val="28"/>
          <w:highlight w:val="cyan"/>
        </w:rPr>
        <w:fldChar w:fldCharType="separate"/>
      </w:r>
      <w:r>
        <w:rPr>
          <w:rFonts w:hint="eastAsia" w:ascii="宋体" w:hAnsi="宋体" w:eastAsia="宋体" w:cs="宋体"/>
          <w:b/>
          <w:bCs/>
          <w:spacing w:val="1"/>
          <w:sz w:val="28"/>
          <w:szCs w:val="28"/>
          <w:highlight w:val="none"/>
          <w:lang w:val="en-US" w:eastAsia="zh-CN"/>
        </w:rPr>
        <w:t>六</w:t>
      </w:r>
      <w:r>
        <w:rPr>
          <w:rFonts w:hint="eastAsia" w:ascii="宋体" w:hAnsi="宋体" w:eastAsia="宋体" w:cs="宋体"/>
          <w:b/>
          <w:bCs/>
          <w:spacing w:val="1"/>
          <w:sz w:val="28"/>
          <w:szCs w:val="28"/>
          <w:highlight w:val="none"/>
        </w:rPr>
        <w:t>、人</w:t>
      </w:r>
      <w:r>
        <w:rPr>
          <w:rFonts w:hint="eastAsia" w:ascii="宋体" w:hAnsi="宋体" w:eastAsia="宋体" w:cs="宋体"/>
          <w:b/>
          <w:bCs/>
          <w:sz w:val="28"/>
          <w:szCs w:val="28"/>
          <w:highlight w:val="none"/>
        </w:rPr>
        <w:t>员配备</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_Toc24747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35</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_Toc22961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val="en-US" w:eastAsia="zh-CN"/>
        </w:rPr>
        <w:t>七</w:t>
      </w:r>
      <w:r>
        <w:rPr>
          <w:rFonts w:hint="eastAsia" w:ascii="宋体" w:hAnsi="宋体" w:eastAsia="宋体" w:cs="宋体"/>
          <w:b/>
          <w:bCs/>
          <w:sz w:val="28"/>
          <w:szCs w:val="28"/>
          <w:highlight w:val="none"/>
        </w:rPr>
        <w:t>、服务方案</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_Toc22961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36</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_Toc10216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val="en-US" w:eastAsia="zh-CN"/>
        </w:rPr>
        <w:t>八</w:t>
      </w:r>
      <w:r>
        <w:rPr>
          <w:rFonts w:hint="eastAsia" w:ascii="宋体" w:hAnsi="宋体" w:eastAsia="宋体" w:cs="宋体"/>
          <w:b/>
          <w:bCs/>
          <w:sz w:val="28"/>
          <w:szCs w:val="28"/>
          <w:highlight w:val="none"/>
        </w:rPr>
        <w:t>、</w:t>
      </w:r>
      <w:r>
        <w:rPr>
          <w:rFonts w:hint="eastAsia" w:ascii="宋体" w:hAnsi="宋体" w:cs="宋体"/>
          <w:b/>
          <w:bCs/>
          <w:sz w:val="28"/>
          <w:szCs w:val="28"/>
          <w:highlight w:val="none"/>
          <w:lang w:eastAsia="zh-CN"/>
        </w:rPr>
        <w:t>比选</w:t>
      </w:r>
      <w:r>
        <w:rPr>
          <w:rFonts w:hint="eastAsia" w:ascii="宋体" w:hAnsi="宋体" w:eastAsia="宋体" w:cs="宋体"/>
          <w:b/>
          <w:bCs/>
          <w:sz w:val="28"/>
          <w:szCs w:val="28"/>
          <w:highlight w:val="none"/>
        </w:rPr>
        <w:t>业绩承诺函</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_Toc10216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37</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_Toc5977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lang w:val="en-US" w:eastAsia="zh-CN" w:bidi="ar"/>
        </w:rPr>
        <w:t>九</w:t>
      </w:r>
      <w:r>
        <w:rPr>
          <w:rFonts w:hint="eastAsia" w:ascii="宋体" w:hAnsi="宋体" w:eastAsia="宋体" w:cs="宋体"/>
          <w:b/>
          <w:bCs/>
          <w:sz w:val="28"/>
          <w:szCs w:val="28"/>
          <w:highlight w:val="none"/>
        </w:rPr>
        <w:t>、其他相关证明材料</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_Toc5977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38</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40"/>
        <w:keepNext w:val="0"/>
        <w:keepLines w:val="0"/>
        <w:pageBreakBefore w:val="0"/>
        <w:widowControl w:val="0"/>
        <w:tabs>
          <w:tab w:val="right" w:leader="dot" w:pos="8969"/>
        </w:tabs>
        <w:kinsoku/>
        <w:wordWrap/>
        <w:overflowPunct/>
        <w:topLinePunct w:val="0"/>
        <w:autoSpaceDE/>
        <w:autoSpaceDN/>
        <w:bidi w:val="0"/>
        <w:adjustRightInd/>
        <w:snapToGrid/>
        <w:spacing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highlight w:val="cyan"/>
        </w:rPr>
        <w:fldChar w:fldCharType="begin"/>
      </w:r>
      <w:r>
        <w:rPr>
          <w:rFonts w:hint="eastAsia" w:ascii="宋体" w:hAnsi="宋体" w:eastAsia="宋体" w:cs="宋体"/>
          <w:b/>
          <w:bCs/>
          <w:sz w:val="28"/>
          <w:szCs w:val="28"/>
          <w:highlight w:val="cyan"/>
        </w:rPr>
        <w:instrText xml:space="preserve"> HYPERLINK \l _Toc26870 </w:instrText>
      </w:r>
      <w:r>
        <w:rPr>
          <w:rFonts w:hint="eastAsia" w:ascii="宋体" w:hAnsi="宋体" w:eastAsia="宋体" w:cs="宋体"/>
          <w:b/>
          <w:bCs/>
          <w:sz w:val="28"/>
          <w:szCs w:val="28"/>
          <w:highlight w:val="cyan"/>
        </w:rPr>
        <w:fldChar w:fldCharType="separate"/>
      </w:r>
      <w:r>
        <w:rPr>
          <w:rFonts w:hint="eastAsia" w:ascii="宋体" w:hAnsi="宋体" w:eastAsia="宋体" w:cs="宋体"/>
          <w:b/>
          <w:bCs/>
          <w:sz w:val="28"/>
          <w:szCs w:val="28"/>
          <w:highlight w:val="none"/>
        </w:rPr>
        <w:t>第七章 供应商质疑函范本</w:t>
      </w:r>
      <w:r>
        <w:rPr>
          <w:rFonts w:hint="eastAsia" w:ascii="宋体" w:hAnsi="宋体" w:eastAsia="宋体" w:cs="宋体"/>
          <w:b/>
          <w:bCs/>
          <w:sz w:val="28"/>
          <w:szCs w:val="28"/>
        </w:rPr>
        <w:tab/>
      </w: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 PAGEREF _Toc26870 \h </w:instrText>
      </w:r>
      <w:r>
        <w:rPr>
          <w:rFonts w:hint="eastAsia" w:ascii="宋体" w:hAnsi="宋体" w:eastAsia="宋体" w:cs="宋体"/>
          <w:b/>
          <w:bCs/>
          <w:sz w:val="28"/>
          <w:szCs w:val="28"/>
        </w:rPr>
        <w:fldChar w:fldCharType="separate"/>
      </w:r>
      <w:r>
        <w:rPr>
          <w:rFonts w:hint="eastAsia" w:ascii="宋体" w:hAnsi="宋体" w:eastAsia="宋体" w:cs="宋体"/>
          <w:b/>
          <w:bCs/>
          <w:sz w:val="28"/>
          <w:szCs w:val="28"/>
        </w:rPr>
        <w:t>39</w:t>
      </w:r>
      <w:r>
        <w:rPr>
          <w:rFonts w:hint="eastAsia" w:ascii="宋体" w:hAnsi="宋体" w:eastAsia="宋体" w:cs="宋体"/>
          <w:b/>
          <w:bCs/>
          <w:sz w:val="28"/>
          <w:szCs w:val="28"/>
        </w:rPr>
        <w:fldChar w:fldCharType="end"/>
      </w:r>
      <w:r>
        <w:rPr>
          <w:rFonts w:hint="eastAsia" w:ascii="宋体" w:hAnsi="宋体" w:eastAsia="宋体" w:cs="宋体"/>
          <w:b/>
          <w:bCs/>
          <w:sz w:val="28"/>
          <w:szCs w:val="28"/>
          <w:highlight w:val="cyan"/>
        </w:rPr>
        <w:fldChar w:fldCharType="end"/>
      </w:r>
    </w:p>
    <w:p>
      <w:pPr>
        <w:pStyle w:val="31"/>
        <w:keepNext w:val="0"/>
        <w:keepLines w:val="0"/>
        <w:pageBreakBefore w:val="0"/>
        <w:widowControl w:val="0"/>
        <w:kinsoku/>
        <w:wordWrap/>
        <w:overflowPunct/>
        <w:topLinePunct w:val="0"/>
        <w:autoSpaceDE/>
        <w:autoSpaceDN/>
        <w:bidi w:val="0"/>
        <w:adjustRightInd/>
        <w:snapToGrid/>
        <w:spacing w:line="360" w:lineRule="auto"/>
        <w:textAlignment w:val="auto"/>
        <w:rPr>
          <w:highlight w:val="cyan"/>
        </w:rPr>
        <w:sectPr>
          <w:headerReference r:id="rId3" w:type="default"/>
          <w:footerReference r:id="rId4" w:type="default"/>
          <w:type w:val="continuous"/>
          <w:pgSz w:w="11900" w:h="16840"/>
          <w:pgMar w:top="1440" w:right="1400" w:bottom="1440" w:left="1531" w:header="720" w:footer="720" w:gutter="0"/>
          <w:pgNumType w:fmt="decimal" w:start="1"/>
          <w:cols w:space="720" w:num="1"/>
          <w:docGrid w:linePitch="286" w:charSpace="0"/>
        </w:sectPr>
      </w:pPr>
      <w:r>
        <w:rPr>
          <w:rFonts w:hint="eastAsia" w:ascii="宋体" w:hAnsi="宋体" w:eastAsia="宋体" w:cs="宋体"/>
          <w:sz w:val="28"/>
          <w:szCs w:val="28"/>
          <w:highlight w:val="cyan"/>
        </w:rPr>
        <w:fldChar w:fldCharType="end"/>
      </w:r>
    </w:p>
    <w:p>
      <w:pPr>
        <w:pStyle w:val="4"/>
        <w:rPr>
          <w:highlight w:val="cyan"/>
        </w:rPr>
        <w:sectPr>
          <w:type w:val="continuous"/>
          <w:pgSz w:w="11900" w:h="16840"/>
          <w:pgMar w:top="1440" w:right="1400" w:bottom="1440" w:left="1531" w:header="720" w:footer="720" w:gutter="0"/>
          <w:pgNumType w:fmt="decimal" w:start="1"/>
          <w:cols w:space="720" w:num="1"/>
          <w:docGrid w:linePitch="286" w:charSpace="0"/>
        </w:sectPr>
      </w:pPr>
    </w:p>
    <w:p>
      <w:pPr>
        <w:pStyle w:val="4"/>
        <w:rPr>
          <w:highlight w:val="none"/>
        </w:rPr>
      </w:pPr>
      <w:bookmarkStart w:id="4" w:name="_Toc154731041"/>
      <w:bookmarkStart w:id="5" w:name="_Toc24631"/>
      <w:r>
        <w:rPr>
          <w:rFonts w:hint="eastAsia"/>
          <w:highlight w:val="none"/>
        </w:rPr>
        <w:t xml:space="preserve">第一章 </w:t>
      </w:r>
      <w:r>
        <w:rPr>
          <w:rFonts w:hint="eastAsia"/>
          <w:highlight w:val="none"/>
          <w:lang w:eastAsia="zh-CN"/>
        </w:rPr>
        <w:t>比选</w:t>
      </w:r>
      <w:r>
        <w:rPr>
          <w:rFonts w:hint="eastAsia"/>
          <w:highlight w:val="none"/>
        </w:rPr>
        <w:t>公告</w:t>
      </w:r>
      <w:bookmarkEnd w:id="3"/>
      <w:bookmarkEnd w:id="4"/>
      <w:bookmarkEnd w:id="5"/>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一、项目名称及内容</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ascii="Times New Roman" w:hAnsi="Times New Roman"/>
          <w:sz w:val="24"/>
          <w:szCs w:val="18"/>
          <w:highlight w:val="none"/>
        </w:rPr>
        <w:t>1.项目编号：</w:t>
      </w:r>
      <w:r>
        <w:rPr>
          <w:rFonts w:hint="eastAsia" w:ascii="Times New Roman" w:hAnsi="Times New Roman"/>
          <w:sz w:val="24"/>
          <w:szCs w:val="18"/>
          <w:highlight w:val="none"/>
        </w:rPr>
        <w:t>BZXY</w:t>
      </w:r>
      <w:r>
        <w:rPr>
          <w:rFonts w:hint="eastAsia" w:ascii="Times New Roman" w:hAnsi="Times New Roman"/>
          <w:sz w:val="24"/>
          <w:szCs w:val="18"/>
          <w:highlight w:val="none"/>
          <w:lang w:val="en-US" w:eastAsia="zh-CN"/>
        </w:rPr>
        <w:t>CG</w:t>
      </w:r>
      <w:r>
        <w:rPr>
          <w:rFonts w:hint="eastAsia" w:ascii="Times New Roman" w:hAnsi="Times New Roman"/>
          <w:sz w:val="24"/>
          <w:szCs w:val="18"/>
          <w:highlight w:val="none"/>
        </w:rPr>
        <w:t>[2024]001号</w:t>
      </w:r>
    </w:p>
    <w:p>
      <w:pPr>
        <w:autoSpaceDE w:val="0"/>
        <w:autoSpaceDN w:val="0"/>
        <w:adjustRightInd w:val="0"/>
        <w:spacing w:line="360" w:lineRule="auto"/>
        <w:ind w:firstLine="480" w:firstLineChars="200"/>
        <w:jc w:val="left"/>
        <w:rPr>
          <w:rFonts w:ascii="Times New Roman" w:hAnsi="Times New Roman"/>
          <w:sz w:val="24"/>
          <w:szCs w:val="18"/>
          <w:highlight w:val="none"/>
          <w:u w:val="none"/>
        </w:rPr>
      </w:pPr>
      <w:r>
        <w:rPr>
          <w:rFonts w:ascii="Times New Roman" w:hAnsi="Times New Roman"/>
          <w:sz w:val="24"/>
          <w:szCs w:val="18"/>
          <w:highlight w:val="none"/>
          <w:u w:val="none"/>
        </w:rPr>
        <w:t>2.项目名称：</w:t>
      </w:r>
      <w:bookmarkStart w:id="43" w:name="_GoBack"/>
      <w:r>
        <w:rPr>
          <w:rFonts w:hint="eastAsia" w:ascii="Times New Roman" w:hAnsi="Times New Roman"/>
          <w:sz w:val="24"/>
          <w:szCs w:val="18"/>
          <w:highlight w:val="none"/>
          <w:u w:val="none"/>
          <w:lang w:eastAsia="zh-CN"/>
        </w:rPr>
        <w:t>亳州学院2024至2026年度项目采购代理机构服务项目</w:t>
      </w:r>
      <w:bookmarkEnd w:id="43"/>
    </w:p>
    <w:p>
      <w:pPr>
        <w:autoSpaceDE w:val="0"/>
        <w:autoSpaceDN w:val="0"/>
        <w:adjustRightInd w:val="0"/>
        <w:spacing w:line="360" w:lineRule="auto"/>
        <w:ind w:firstLine="480" w:firstLineChars="200"/>
        <w:jc w:val="left"/>
        <w:rPr>
          <w:rFonts w:hint="default" w:ascii="Times New Roman" w:hAnsi="Times New Roman" w:eastAsia="宋体"/>
          <w:sz w:val="24"/>
          <w:szCs w:val="18"/>
          <w:highlight w:val="none"/>
          <w:lang w:val="en-US" w:eastAsia="zh-CN"/>
        </w:rPr>
      </w:pPr>
      <w:r>
        <w:rPr>
          <w:rFonts w:ascii="Times New Roman" w:hAnsi="Times New Roman"/>
          <w:sz w:val="24"/>
          <w:szCs w:val="18"/>
          <w:highlight w:val="none"/>
        </w:rPr>
        <w:t>3.项目地点：</w:t>
      </w:r>
      <w:r>
        <w:rPr>
          <w:rFonts w:hint="eastAsia" w:ascii="Times New Roman" w:hAnsi="Times New Roman"/>
          <w:sz w:val="24"/>
          <w:szCs w:val="18"/>
          <w:highlight w:val="none"/>
          <w:lang w:eastAsia="zh-CN"/>
        </w:rPr>
        <w:t>亳州学院</w:t>
      </w:r>
      <w:r>
        <w:rPr>
          <w:rFonts w:hint="eastAsia" w:ascii="Times New Roman" w:hAnsi="Times New Roman"/>
          <w:sz w:val="24"/>
          <w:szCs w:val="18"/>
          <w:highlight w:val="none"/>
          <w:lang w:val="en-US" w:eastAsia="zh-CN"/>
        </w:rPr>
        <w:t>勤政楼1043会议室</w:t>
      </w:r>
    </w:p>
    <w:p>
      <w:pPr>
        <w:autoSpaceDE w:val="0"/>
        <w:autoSpaceDN w:val="0"/>
        <w:adjustRightInd w:val="0"/>
        <w:spacing w:line="360" w:lineRule="auto"/>
        <w:ind w:firstLine="480" w:firstLineChars="200"/>
        <w:jc w:val="left"/>
        <w:rPr>
          <w:rFonts w:hint="eastAsia" w:ascii="Times New Roman" w:hAnsi="Times New Roman" w:eastAsia="宋体"/>
          <w:sz w:val="24"/>
          <w:szCs w:val="18"/>
          <w:highlight w:val="none"/>
          <w:lang w:eastAsia="zh-CN"/>
        </w:rPr>
      </w:pPr>
      <w:r>
        <w:rPr>
          <w:rFonts w:ascii="Times New Roman" w:hAnsi="Times New Roman"/>
          <w:sz w:val="24"/>
          <w:szCs w:val="18"/>
          <w:highlight w:val="none"/>
        </w:rPr>
        <w:t>4.项目单位：</w:t>
      </w:r>
      <w:r>
        <w:rPr>
          <w:rFonts w:hint="eastAsia" w:ascii="Times New Roman" w:hAnsi="Times New Roman"/>
          <w:sz w:val="24"/>
          <w:szCs w:val="18"/>
          <w:highlight w:val="none"/>
          <w:lang w:eastAsia="zh-CN"/>
        </w:rPr>
        <w:t>亳州学院</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ascii="Times New Roman" w:hAnsi="Times New Roman"/>
          <w:sz w:val="24"/>
          <w:szCs w:val="18"/>
          <w:highlight w:val="none"/>
        </w:rPr>
        <w:t>5.项目概况：</w:t>
      </w:r>
      <w:r>
        <w:rPr>
          <w:rFonts w:hint="eastAsia" w:ascii="宋体" w:hAnsi="宋体" w:cs="微软雅黑"/>
          <w:kern w:val="0"/>
          <w:sz w:val="24"/>
          <w:szCs w:val="24"/>
          <w:highlight w:val="none"/>
        </w:rPr>
        <w:t>本项目拟选择</w:t>
      </w:r>
      <w:r>
        <w:rPr>
          <w:rFonts w:hint="eastAsia" w:ascii="宋体" w:hAnsi="宋体" w:cs="微软雅黑"/>
          <w:kern w:val="0"/>
          <w:sz w:val="24"/>
          <w:szCs w:val="24"/>
          <w:highlight w:val="none"/>
          <w:lang w:val="en-US" w:eastAsia="zh-CN"/>
        </w:rPr>
        <w:t>2</w:t>
      </w:r>
      <w:r>
        <w:rPr>
          <w:rFonts w:hint="eastAsia" w:ascii="宋体" w:hAnsi="宋体" w:cs="微软雅黑"/>
          <w:kern w:val="0"/>
          <w:sz w:val="24"/>
          <w:szCs w:val="24"/>
          <w:highlight w:val="none"/>
        </w:rPr>
        <w:t>家招标采购服务代理机构，共同承担我</w:t>
      </w:r>
      <w:r>
        <w:rPr>
          <w:rFonts w:hint="eastAsia" w:ascii="宋体" w:hAnsi="宋体" w:cs="微软雅黑"/>
          <w:kern w:val="0"/>
          <w:sz w:val="24"/>
          <w:szCs w:val="24"/>
          <w:highlight w:val="none"/>
          <w:lang w:val="en-US" w:eastAsia="zh-CN"/>
        </w:rPr>
        <w:t>校2024至2026年度项目采购代理机构采购项目</w:t>
      </w:r>
      <w:r>
        <w:rPr>
          <w:rFonts w:ascii="Times New Roman" w:hAnsi="Times New Roman"/>
          <w:sz w:val="24"/>
          <w:szCs w:val="18"/>
          <w:highlight w:val="none"/>
        </w:rPr>
        <w:t>，详见</w:t>
      </w:r>
      <w:r>
        <w:rPr>
          <w:rFonts w:hint="eastAsia" w:ascii="Times New Roman" w:hAnsi="Times New Roman"/>
          <w:sz w:val="24"/>
          <w:szCs w:val="18"/>
          <w:highlight w:val="none"/>
          <w:lang w:eastAsia="zh-CN"/>
        </w:rPr>
        <w:t>比选</w:t>
      </w:r>
      <w:r>
        <w:rPr>
          <w:rFonts w:ascii="Times New Roman" w:hAnsi="Times New Roman"/>
          <w:sz w:val="24"/>
          <w:szCs w:val="18"/>
          <w:highlight w:val="none"/>
        </w:rPr>
        <w:t>文件</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ascii="Times New Roman" w:hAnsi="Times New Roman"/>
          <w:sz w:val="24"/>
          <w:szCs w:val="18"/>
          <w:highlight w:val="none"/>
        </w:rPr>
        <w:t xml:space="preserve">6.项目预算：无 </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ascii="Times New Roman" w:hAnsi="Times New Roman"/>
          <w:sz w:val="24"/>
          <w:szCs w:val="18"/>
          <w:highlight w:val="none"/>
        </w:rPr>
        <w:t>7.项目类别：服务</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ascii="Times New Roman" w:hAnsi="Times New Roman"/>
          <w:sz w:val="24"/>
          <w:szCs w:val="18"/>
          <w:highlight w:val="none"/>
        </w:rPr>
        <w:t>8.标段（包别）划分：共分</w:t>
      </w:r>
      <w:r>
        <w:rPr>
          <w:rFonts w:hint="eastAsia" w:ascii="Times New Roman" w:hAnsi="Times New Roman"/>
          <w:sz w:val="24"/>
          <w:szCs w:val="18"/>
          <w:highlight w:val="none"/>
          <w:u w:val="single"/>
        </w:rPr>
        <w:t xml:space="preserve"> 1 </w:t>
      </w:r>
      <w:r>
        <w:rPr>
          <w:rFonts w:ascii="Times New Roman" w:hAnsi="Times New Roman"/>
          <w:sz w:val="24"/>
          <w:szCs w:val="18"/>
          <w:highlight w:val="none"/>
        </w:rPr>
        <w:t>个包，本次采购第</w:t>
      </w:r>
      <w:r>
        <w:rPr>
          <w:rFonts w:hint="eastAsia" w:ascii="Times New Roman" w:hAnsi="Times New Roman"/>
          <w:sz w:val="24"/>
          <w:szCs w:val="18"/>
          <w:highlight w:val="none"/>
          <w:u w:val="single"/>
        </w:rPr>
        <w:t xml:space="preserve"> 1 </w:t>
      </w:r>
      <w:r>
        <w:rPr>
          <w:rFonts w:ascii="Times New Roman" w:hAnsi="Times New Roman"/>
          <w:sz w:val="24"/>
          <w:szCs w:val="18"/>
          <w:highlight w:val="none"/>
        </w:rPr>
        <w:t>包</w:t>
      </w:r>
    </w:p>
    <w:p>
      <w:pPr>
        <w:autoSpaceDE w:val="0"/>
        <w:autoSpaceDN w:val="0"/>
        <w:adjustRightInd w:val="0"/>
        <w:spacing w:line="360" w:lineRule="auto"/>
        <w:ind w:firstLine="480" w:firstLineChars="200"/>
        <w:jc w:val="left"/>
        <w:rPr>
          <w:rFonts w:hint="eastAsia" w:ascii="Times New Roman" w:hAnsi="Times New Roman"/>
          <w:sz w:val="24"/>
          <w:szCs w:val="18"/>
          <w:highlight w:val="none"/>
          <w:lang w:eastAsia="zh-CN"/>
        </w:rPr>
      </w:pPr>
      <w:r>
        <w:rPr>
          <w:rFonts w:hint="eastAsia" w:ascii="Times New Roman" w:hAnsi="Times New Roman"/>
          <w:sz w:val="24"/>
          <w:szCs w:val="18"/>
          <w:highlight w:val="none"/>
          <w:lang w:val="en-US" w:eastAsia="zh-CN"/>
        </w:rPr>
        <w:t>9.本项目不</w:t>
      </w:r>
      <w:r>
        <w:rPr>
          <w:rFonts w:hint="eastAsia" w:ascii="Times New Roman" w:hAnsi="Times New Roman"/>
          <w:sz w:val="24"/>
          <w:szCs w:val="18"/>
          <w:highlight w:val="none"/>
          <w:lang w:eastAsia="zh-CN"/>
        </w:rPr>
        <w:t>允许联合体参加比选</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二、供应商资格</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1.供应商应具有独立法人资格且依法存续，</w:t>
      </w:r>
      <w:r>
        <w:rPr>
          <w:rFonts w:ascii="Times New Roman" w:hAnsi="Times New Roman"/>
          <w:sz w:val="24"/>
          <w:szCs w:val="18"/>
          <w:highlight w:val="none"/>
        </w:rPr>
        <w:t>具有有效的营业执照</w:t>
      </w:r>
      <w:r>
        <w:rPr>
          <w:rFonts w:hint="eastAsia" w:ascii="Times New Roman" w:hAnsi="Times New Roman"/>
          <w:sz w:val="24"/>
          <w:szCs w:val="18"/>
          <w:highlight w:val="none"/>
        </w:rPr>
        <w:t>。</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2.符合《财政部关于印发&lt;政府采购代理机构管理暂行办法&gt;的通知》（财库〔2018〕2号）有关资质要求，并在省级及以上政府采购网站备案；</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 xml:space="preserve">3. 2021年1月1日以来，具有高校政府采购项目招标采购代理业绩。 </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注：业绩证明材料的要求同综合评分中</w:t>
      </w:r>
      <w:r>
        <w:rPr>
          <w:rFonts w:hint="eastAsia" w:ascii="宋体" w:hAnsi="宋体"/>
          <w:sz w:val="24"/>
          <w:highlight w:val="none"/>
        </w:rPr>
        <w:t>供应商业绩要求。</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4.本项目不接受联合体参与</w:t>
      </w:r>
      <w:r>
        <w:rPr>
          <w:rFonts w:hint="eastAsia" w:ascii="Times New Roman" w:hAnsi="Times New Roman"/>
          <w:sz w:val="24"/>
          <w:szCs w:val="18"/>
          <w:highlight w:val="none"/>
          <w:lang w:eastAsia="zh-CN"/>
        </w:rPr>
        <w:t>比选</w:t>
      </w:r>
      <w:r>
        <w:rPr>
          <w:rFonts w:hint="eastAsia" w:ascii="Times New Roman" w:hAnsi="Times New Roman"/>
          <w:sz w:val="24"/>
          <w:szCs w:val="18"/>
          <w:highlight w:val="none"/>
        </w:rPr>
        <w:t>。</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5. 截至提交首次响应文件截止时间，供应商（含其不具有独立法人资格的分支机构）存在下列有效情形之一的，其响应文件按无效处理。</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（1）被人民法院列入失信被执行人名单的；</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（2）被税务机关列入重大税收违法案件当事人名单的；</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（3）被财政部门列入政府采购严重违法失信名单的；</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rPr>
        <w:t>（4）被市场监督管理部门（或工商行政管理部门）列入经营异常名录或者严重违法失信企业名单的（未按照《企业信息公示暂行条例》（国务院令第654号）第八条规定的期限公示年度报告被列入经营异常名录的除外）。”</w:t>
      </w:r>
      <w:r>
        <w:rPr>
          <w:rFonts w:hint="eastAsia" w:ascii="Times New Roman" w:hAnsi="Times New Roman"/>
          <w:sz w:val="24"/>
          <w:szCs w:val="18"/>
          <w:highlight w:val="none"/>
        </w:rPr>
        <w:br w:type="textWrapping"/>
      </w:r>
      <w:r>
        <w:rPr>
          <w:rFonts w:hint="eastAsia" w:ascii="Times New Roman" w:hAnsi="Times New Roman"/>
          <w:sz w:val="24"/>
          <w:szCs w:val="18"/>
          <w:highlight w:val="none"/>
        </w:rPr>
        <w:t>注：“有效”是指“情形”规定的程度、起止期间处于有效状态。</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三、</w:t>
      </w:r>
      <w:r>
        <w:rPr>
          <w:rFonts w:hint="eastAsia" w:ascii="Times New Roman" w:hAnsi="Times New Roman"/>
          <w:b/>
          <w:bCs/>
          <w:sz w:val="24"/>
          <w:szCs w:val="18"/>
          <w:highlight w:val="none"/>
          <w:lang w:eastAsia="zh-CN"/>
        </w:rPr>
        <w:t>比选</w:t>
      </w:r>
      <w:r>
        <w:rPr>
          <w:rFonts w:ascii="Times New Roman" w:hAnsi="Times New Roman"/>
          <w:b/>
          <w:bCs/>
          <w:sz w:val="24"/>
          <w:szCs w:val="18"/>
          <w:highlight w:val="none"/>
        </w:rPr>
        <w:t>文件的获取</w:t>
      </w:r>
    </w:p>
    <w:p>
      <w:pPr>
        <w:autoSpaceDE w:val="0"/>
        <w:autoSpaceDN w:val="0"/>
        <w:adjustRightInd w:val="0"/>
        <w:spacing w:line="360" w:lineRule="auto"/>
        <w:ind w:firstLine="480" w:firstLineChars="200"/>
        <w:jc w:val="left"/>
        <w:rPr>
          <w:rFonts w:ascii="Times New Roman" w:hAnsi="Times New Roman"/>
          <w:sz w:val="24"/>
          <w:szCs w:val="18"/>
          <w:highlight w:val="yellow"/>
        </w:rPr>
      </w:pPr>
      <w:r>
        <w:rPr>
          <w:rFonts w:ascii="Times New Roman" w:hAnsi="Times New Roman"/>
          <w:sz w:val="24"/>
          <w:szCs w:val="18"/>
          <w:highlight w:val="yellow"/>
        </w:rPr>
        <w:t>1.获取时间：</w:t>
      </w:r>
      <w:r>
        <w:rPr>
          <w:rFonts w:hint="eastAsia" w:ascii="Times New Roman" w:hAnsi="Times New Roman"/>
          <w:sz w:val="24"/>
          <w:szCs w:val="18"/>
          <w:highlight w:val="yellow"/>
          <w:u w:val="single"/>
        </w:rPr>
        <w:t xml:space="preserve"> 202</w:t>
      </w:r>
      <w:r>
        <w:rPr>
          <w:rFonts w:hint="eastAsia" w:ascii="Times New Roman" w:hAnsi="Times New Roman"/>
          <w:sz w:val="24"/>
          <w:szCs w:val="18"/>
          <w:highlight w:val="yellow"/>
          <w:u w:val="single"/>
          <w:lang w:val="en-US" w:eastAsia="zh-CN"/>
        </w:rPr>
        <w:t>4</w:t>
      </w:r>
      <w:r>
        <w:rPr>
          <w:rFonts w:hint="eastAsia" w:ascii="Times New Roman" w:hAnsi="Times New Roman"/>
          <w:sz w:val="24"/>
          <w:szCs w:val="18"/>
          <w:highlight w:val="yellow"/>
          <w:u w:val="single"/>
        </w:rPr>
        <w:t xml:space="preserve"> </w:t>
      </w:r>
      <w:r>
        <w:rPr>
          <w:rFonts w:ascii="Times New Roman" w:hAnsi="Times New Roman"/>
          <w:sz w:val="24"/>
          <w:szCs w:val="18"/>
          <w:highlight w:val="yellow"/>
        </w:rPr>
        <w:t>年</w:t>
      </w:r>
      <w:r>
        <w:rPr>
          <w:rFonts w:hint="eastAsia" w:ascii="Times New Roman" w:hAnsi="Times New Roman"/>
          <w:sz w:val="24"/>
          <w:szCs w:val="18"/>
          <w:highlight w:val="yellow"/>
          <w:u w:val="single"/>
        </w:rPr>
        <w:t xml:space="preserve"> 1 </w:t>
      </w:r>
      <w:r>
        <w:rPr>
          <w:rFonts w:ascii="Times New Roman" w:hAnsi="Times New Roman"/>
          <w:sz w:val="24"/>
          <w:szCs w:val="18"/>
          <w:highlight w:val="yellow"/>
        </w:rPr>
        <w:t>月</w:t>
      </w:r>
      <w:r>
        <w:rPr>
          <w:rFonts w:hint="eastAsia" w:ascii="Times New Roman" w:hAnsi="Times New Roman"/>
          <w:sz w:val="24"/>
          <w:szCs w:val="18"/>
          <w:highlight w:val="yellow"/>
          <w:u w:val="single"/>
        </w:rPr>
        <w:t xml:space="preserve"> </w:t>
      </w:r>
      <w:r>
        <w:rPr>
          <w:rFonts w:hint="eastAsia" w:ascii="Times New Roman" w:hAnsi="Times New Roman"/>
          <w:sz w:val="24"/>
          <w:szCs w:val="18"/>
          <w:highlight w:val="yellow"/>
          <w:u w:val="single"/>
          <w:lang w:val="en-US" w:eastAsia="zh-CN"/>
        </w:rPr>
        <w:t>26</w:t>
      </w:r>
      <w:r>
        <w:rPr>
          <w:rFonts w:hint="eastAsia" w:ascii="Times New Roman" w:hAnsi="Times New Roman"/>
          <w:sz w:val="24"/>
          <w:szCs w:val="18"/>
          <w:highlight w:val="yellow"/>
          <w:u w:val="single"/>
        </w:rPr>
        <w:t xml:space="preserve"> </w:t>
      </w:r>
      <w:r>
        <w:rPr>
          <w:rFonts w:ascii="Times New Roman" w:hAnsi="Times New Roman"/>
          <w:sz w:val="24"/>
          <w:szCs w:val="18"/>
          <w:highlight w:val="yellow"/>
        </w:rPr>
        <w:t>日</w:t>
      </w:r>
      <w:r>
        <w:rPr>
          <w:rFonts w:hint="eastAsia" w:ascii="Times New Roman" w:hAnsi="Times New Roman"/>
          <w:sz w:val="24"/>
          <w:szCs w:val="18"/>
          <w:highlight w:val="yellow"/>
          <w:lang w:val="en-US" w:eastAsia="zh-CN"/>
        </w:rPr>
        <w:t>15</w:t>
      </w:r>
      <w:r>
        <w:rPr>
          <w:rFonts w:ascii="Times New Roman" w:hAnsi="Times New Roman"/>
          <w:sz w:val="24"/>
          <w:szCs w:val="18"/>
          <w:highlight w:val="yellow"/>
        </w:rPr>
        <w:t>:30至</w:t>
      </w:r>
      <w:r>
        <w:rPr>
          <w:rFonts w:hint="eastAsia" w:ascii="Times New Roman" w:hAnsi="Times New Roman"/>
          <w:sz w:val="24"/>
          <w:szCs w:val="18"/>
          <w:highlight w:val="yellow"/>
          <w:u w:val="single"/>
        </w:rPr>
        <w:t xml:space="preserve"> 2024 </w:t>
      </w:r>
      <w:r>
        <w:rPr>
          <w:rFonts w:ascii="Times New Roman" w:hAnsi="Times New Roman"/>
          <w:sz w:val="24"/>
          <w:szCs w:val="18"/>
          <w:highlight w:val="yellow"/>
        </w:rPr>
        <w:t>年</w:t>
      </w:r>
      <w:r>
        <w:rPr>
          <w:rFonts w:hint="eastAsia" w:ascii="Times New Roman" w:hAnsi="Times New Roman"/>
          <w:sz w:val="24"/>
          <w:szCs w:val="18"/>
          <w:highlight w:val="yellow"/>
          <w:u w:val="single"/>
        </w:rPr>
        <w:t xml:space="preserve"> </w:t>
      </w:r>
      <w:r>
        <w:rPr>
          <w:rFonts w:hint="eastAsia" w:ascii="Times New Roman" w:hAnsi="Times New Roman"/>
          <w:sz w:val="24"/>
          <w:szCs w:val="18"/>
          <w:highlight w:val="yellow"/>
          <w:u w:val="single"/>
          <w:lang w:val="en-US" w:eastAsia="zh-CN"/>
        </w:rPr>
        <w:t>2</w:t>
      </w:r>
      <w:r>
        <w:rPr>
          <w:rFonts w:hint="eastAsia" w:ascii="Times New Roman" w:hAnsi="Times New Roman"/>
          <w:sz w:val="24"/>
          <w:szCs w:val="18"/>
          <w:highlight w:val="yellow"/>
          <w:u w:val="single"/>
        </w:rPr>
        <w:t xml:space="preserve"> </w:t>
      </w:r>
      <w:r>
        <w:rPr>
          <w:rFonts w:ascii="Times New Roman" w:hAnsi="Times New Roman"/>
          <w:sz w:val="24"/>
          <w:szCs w:val="18"/>
          <w:highlight w:val="yellow"/>
        </w:rPr>
        <w:t>月</w:t>
      </w:r>
      <w:r>
        <w:rPr>
          <w:rFonts w:hint="eastAsia" w:ascii="Times New Roman" w:hAnsi="Times New Roman"/>
          <w:sz w:val="24"/>
          <w:szCs w:val="18"/>
          <w:highlight w:val="yellow"/>
          <w:u w:val="single"/>
        </w:rPr>
        <w:t xml:space="preserve"> </w:t>
      </w:r>
      <w:r>
        <w:rPr>
          <w:rFonts w:hint="eastAsia" w:ascii="Times New Roman" w:hAnsi="Times New Roman"/>
          <w:sz w:val="24"/>
          <w:szCs w:val="18"/>
          <w:highlight w:val="yellow"/>
          <w:u w:val="single"/>
          <w:lang w:val="en-US" w:eastAsia="zh-CN"/>
        </w:rPr>
        <w:t>2</w:t>
      </w:r>
      <w:r>
        <w:rPr>
          <w:rFonts w:hint="eastAsia" w:ascii="Times New Roman" w:hAnsi="Times New Roman"/>
          <w:sz w:val="24"/>
          <w:szCs w:val="18"/>
          <w:highlight w:val="yellow"/>
          <w:u w:val="single"/>
        </w:rPr>
        <w:t xml:space="preserve"> </w:t>
      </w:r>
      <w:r>
        <w:rPr>
          <w:rFonts w:ascii="Times New Roman" w:hAnsi="Times New Roman"/>
          <w:sz w:val="24"/>
          <w:szCs w:val="18"/>
          <w:highlight w:val="yellow"/>
        </w:rPr>
        <w:t>日1</w:t>
      </w:r>
      <w:r>
        <w:rPr>
          <w:rFonts w:hint="eastAsia" w:ascii="Times New Roman" w:hAnsi="Times New Roman"/>
          <w:sz w:val="24"/>
          <w:szCs w:val="18"/>
          <w:highlight w:val="yellow"/>
          <w:lang w:val="en-US" w:eastAsia="zh-CN"/>
        </w:rPr>
        <w:t>5</w:t>
      </w:r>
      <w:r>
        <w:rPr>
          <w:rFonts w:ascii="Times New Roman" w:hAnsi="Times New Roman"/>
          <w:sz w:val="24"/>
          <w:szCs w:val="18"/>
          <w:highlight w:val="yellow"/>
        </w:rPr>
        <w:t>:30</w:t>
      </w:r>
    </w:p>
    <w:p>
      <w:pPr>
        <w:autoSpaceDE w:val="0"/>
        <w:autoSpaceDN w:val="0"/>
        <w:adjustRightInd w:val="0"/>
        <w:spacing w:line="360" w:lineRule="auto"/>
        <w:ind w:firstLine="480" w:firstLineChars="200"/>
        <w:jc w:val="left"/>
        <w:rPr>
          <w:rFonts w:ascii="Times New Roman" w:hAnsi="Times New Roman"/>
          <w:sz w:val="24"/>
          <w:szCs w:val="18"/>
          <w:highlight w:val="yellow"/>
        </w:rPr>
      </w:pPr>
      <w:r>
        <w:rPr>
          <w:rFonts w:ascii="Times New Roman" w:hAnsi="Times New Roman"/>
          <w:sz w:val="24"/>
          <w:szCs w:val="18"/>
          <w:highlight w:val="yellow"/>
        </w:rPr>
        <w:t>2.获取方式：</w:t>
      </w:r>
    </w:p>
    <w:p>
      <w:pPr>
        <w:pStyle w:val="2"/>
        <w:rPr>
          <w:rFonts w:hint="default" w:eastAsia="宋体"/>
          <w:lang w:val="en-US" w:eastAsia="zh-CN"/>
        </w:rPr>
      </w:pPr>
      <w:r>
        <w:rPr>
          <w:rFonts w:hint="eastAsia" w:ascii="Times New Roman" w:hAnsi="Times New Roman"/>
          <w:sz w:val="24"/>
          <w:szCs w:val="18"/>
          <w:highlight w:val="yellow"/>
          <w:lang w:val="en-US" w:eastAsia="zh-CN"/>
        </w:rPr>
        <w:t xml:space="preserve">    亳州学院官网获取并填写报名表在获取时间截止前发送至bzxyzb@bzuu.edu.cn</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四、</w:t>
      </w:r>
      <w:r>
        <w:rPr>
          <w:rFonts w:hint="eastAsia" w:ascii="Times New Roman" w:hAnsi="Times New Roman"/>
          <w:b/>
          <w:bCs/>
          <w:sz w:val="24"/>
          <w:szCs w:val="18"/>
          <w:highlight w:val="none"/>
          <w:lang w:eastAsia="zh-CN"/>
        </w:rPr>
        <w:t>比选</w:t>
      </w:r>
      <w:r>
        <w:rPr>
          <w:rFonts w:ascii="Times New Roman" w:hAnsi="Times New Roman"/>
          <w:b/>
          <w:bCs/>
          <w:sz w:val="24"/>
          <w:szCs w:val="18"/>
          <w:highlight w:val="none"/>
        </w:rPr>
        <w:t>时间及地点</w:t>
      </w:r>
    </w:p>
    <w:p>
      <w:pPr>
        <w:autoSpaceDE w:val="0"/>
        <w:autoSpaceDN w:val="0"/>
        <w:adjustRightInd w:val="0"/>
        <w:spacing w:line="360" w:lineRule="auto"/>
        <w:ind w:firstLine="480" w:firstLineChars="200"/>
        <w:jc w:val="left"/>
        <w:rPr>
          <w:rFonts w:ascii="Times New Roman" w:hAnsi="Times New Roman"/>
          <w:sz w:val="24"/>
          <w:szCs w:val="18"/>
          <w:highlight w:val="yellow"/>
        </w:rPr>
      </w:pPr>
      <w:r>
        <w:rPr>
          <w:rFonts w:ascii="Times New Roman" w:hAnsi="Times New Roman"/>
          <w:sz w:val="24"/>
          <w:szCs w:val="18"/>
          <w:highlight w:val="yellow"/>
        </w:rPr>
        <w:t>1.</w:t>
      </w:r>
      <w:r>
        <w:rPr>
          <w:rFonts w:hint="eastAsia" w:ascii="Times New Roman" w:hAnsi="Times New Roman"/>
          <w:sz w:val="24"/>
          <w:szCs w:val="18"/>
          <w:highlight w:val="yellow"/>
          <w:lang w:eastAsia="zh-CN"/>
        </w:rPr>
        <w:t>比选</w:t>
      </w:r>
      <w:r>
        <w:rPr>
          <w:rFonts w:ascii="Times New Roman" w:hAnsi="Times New Roman"/>
          <w:sz w:val="24"/>
          <w:szCs w:val="18"/>
          <w:highlight w:val="yellow"/>
        </w:rPr>
        <w:t>时间：</w:t>
      </w:r>
      <w:r>
        <w:rPr>
          <w:rFonts w:hint="eastAsia" w:ascii="Times New Roman" w:hAnsi="Times New Roman"/>
          <w:sz w:val="24"/>
          <w:szCs w:val="18"/>
          <w:highlight w:val="yellow"/>
        </w:rPr>
        <w:t>2024 年 2 月 2 日15:30</w:t>
      </w:r>
    </w:p>
    <w:p>
      <w:pPr>
        <w:autoSpaceDE w:val="0"/>
        <w:autoSpaceDN w:val="0"/>
        <w:adjustRightInd w:val="0"/>
        <w:spacing w:line="360" w:lineRule="auto"/>
        <w:ind w:firstLine="480" w:firstLineChars="200"/>
        <w:jc w:val="left"/>
        <w:rPr>
          <w:rFonts w:hint="default" w:ascii="Times New Roman" w:hAnsi="Times New Roman" w:eastAsia="宋体"/>
          <w:sz w:val="24"/>
          <w:szCs w:val="18"/>
          <w:highlight w:val="yellow"/>
          <w:lang w:val="en-US" w:eastAsia="zh-CN"/>
        </w:rPr>
      </w:pPr>
      <w:r>
        <w:rPr>
          <w:rFonts w:ascii="Times New Roman" w:hAnsi="Times New Roman"/>
          <w:sz w:val="24"/>
          <w:szCs w:val="18"/>
          <w:highlight w:val="yellow"/>
        </w:rPr>
        <w:t>2.</w:t>
      </w:r>
      <w:r>
        <w:rPr>
          <w:rFonts w:hint="eastAsia" w:ascii="Times New Roman" w:hAnsi="Times New Roman"/>
          <w:sz w:val="24"/>
          <w:szCs w:val="18"/>
          <w:highlight w:val="yellow"/>
          <w:lang w:eastAsia="zh-CN"/>
        </w:rPr>
        <w:t>比选</w:t>
      </w:r>
      <w:r>
        <w:rPr>
          <w:rFonts w:ascii="Times New Roman" w:hAnsi="Times New Roman"/>
          <w:sz w:val="24"/>
          <w:szCs w:val="18"/>
          <w:highlight w:val="yellow"/>
        </w:rPr>
        <w:t>地点：</w:t>
      </w:r>
      <w:r>
        <w:rPr>
          <w:rFonts w:hint="eastAsia" w:ascii="Times New Roman" w:hAnsi="Times New Roman"/>
          <w:sz w:val="24"/>
          <w:szCs w:val="18"/>
          <w:highlight w:val="yellow"/>
          <w:lang w:val="en-US" w:eastAsia="zh-CN"/>
        </w:rPr>
        <w:t>亳州学院勤政楼1043</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五、响应文件提交截止时间</w:t>
      </w:r>
    </w:p>
    <w:p>
      <w:pPr>
        <w:autoSpaceDE w:val="0"/>
        <w:autoSpaceDN w:val="0"/>
        <w:adjustRightInd w:val="0"/>
        <w:spacing w:line="360" w:lineRule="auto"/>
        <w:ind w:firstLine="480" w:firstLineChars="200"/>
        <w:jc w:val="left"/>
        <w:rPr>
          <w:rFonts w:ascii="Times New Roman" w:hAnsi="Times New Roman"/>
          <w:sz w:val="24"/>
          <w:szCs w:val="18"/>
          <w:highlight w:val="yellow"/>
        </w:rPr>
      </w:pPr>
      <w:r>
        <w:rPr>
          <w:rFonts w:ascii="Times New Roman" w:hAnsi="Times New Roman"/>
          <w:sz w:val="24"/>
          <w:szCs w:val="18"/>
          <w:highlight w:val="yellow"/>
        </w:rPr>
        <w:t>同</w:t>
      </w:r>
      <w:r>
        <w:rPr>
          <w:rFonts w:hint="eastAsia" w:ascii="Times New Roman" w:hAnsi="Times New Roman"/>
          <w:sz w:val="24"/>
          <w:szCs w:val="18"/>
          <w:highlight w:val="yellow"/>
          <w:lang w:eastAsia="zh-CN"/>
        </w:rPr>
        <w:t>比选</w:t>
      </w:r>
      <w:r>
        <w:rPr>
          <w:rFonts w:ascii="Times New Roman" w:hAnsi="Times New Roman"/>
          <w:sz w:val="24"/>
          <w:szCs w:val="18"/>
          <w:highlight w:val="yellow"/>
        </w:rPr>
        <w:t>时间</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六、联系方式</w:t>
      </w:r>
    </w:p>
    <w:p>
      <w:pPr>
        <w:autoSpaceDE w:val="0"/>
        <w:autoSpaceDN w:val="0"/>
        <w:adjustRightInd w:val="0"/>
        <w:spacing w:line="360" w:lineRule="auto"/>
        <w:ind w:firstLine="480" w:firstLineChars="200"/>
        <w:jc w:val="left"/>
        <w:rPr>
          <w:rFonts w:ascii="Times New Roman" w:hAnsi="Times New Roman"/>
          <w:sz w:val="24"/>
          <w:szCs w:val="18"/>
          <w:highlight w:val="yellow"/>
        </w:rPr>
      </w:pPr>
      <w:r>
        <w:rPr>
          <w:rFonts w:ascii="Times New Roman" w:hAnsi="Times New Roman"/>
          <w:sz w:val="24"/>
          <w:szCs w:val="18"/>
          <w:highlight w:val="yellow"/>
        </w:rPr>
        <w:t>1.采购人</w:t>
      </w:r>
    </w:p>
    <w:p>
      <w:pPr>
        <w:autoSpaceDE w:val="0"/>
        <w:autoSpaceDN w:val="0"/>
        <w:adjustRightInd w:val="0"/>
        <w:spacing w:line="360" w:lineRule="auto"/>
        <w:ind w:firstLine="480" w:firstLineChars="200"/>
        <w:jc w:val="left"/>
        <w:rPr>
          <w:rFonts w:hint="eastAsia" w:ascii="Times New Roman" w:hAnsi="Times New Roman" w:eastAsia="宋体"/>
          <w:sz w:val="24"/>
          <w:szCs w:val="18"/>
          <w:highlight w:val="yellow"/>
          <w:lang w:eastAsia="zh-CN"/>
        </w:rPr>
      </w:pPr>
      <w:r>
        <w:rPr>
          <w:rFonts w:ascii="Times New Roman" w:hAnsi="Times New Roman"/>
          <w:sz w:val="24"/>
          <w:szCs w:val="18"/>
          <w:highlight w:val="yellow"/>
        </w:rPr>
        <w:t>采购人：</w:t>
      </w:r>
      <w:r>
        <w:rPr>
          <w:rFonts w:hint="eastAsia" w:ascii="Times New Roman" w:hAnsi="Times New Roman"/>
          <w:sz w:val="24"/>
          <w:szCs w:val="18"/>
          <w:highlight w:val="yellow"/>
          <w:lang w:eastAsia="zh-CN"/>
        </w:rPr>
        <w:t>亳州学院</w:t>
      </w:r>
    </w:p>
    <w:p>
      <w:pPr>
        <w:autoSpaceDE w:val="0"/>
        <w:autoSpaceDN w:val="0"/>
        <w:adjustRightInd w:val="0"/>
        <w:spacing w:line="360" w:lineRule="auto"/>
        <w:ind w:firstLine="480" w:firstLineChars="200"/>
        <w:jc w:val="left"/>
        <w:rPr>
          <w:rFonts w:hint="default" w:ascii="Times New Roman" w:hAnsi="Times New Roman" w:eastAsia="宋体"/>
          <w:sz w:val="24"/>
          <w:szCs w:val="18"/>
          <w:highlight w:val="yellow"/>
          <w:lang w:val="en-US" w:eastAsia="zh-CN"/>
        </w:rPr>
      </w:pPr>
      <w:r>
        <w:rPr>
          <w:rFonts w:ascii="Times New Roman" w:hAnsi="Times New Roman"/>
          <w:sz w:val="24"/>
          <w:szCs w:val="18"/>
          <w:highlight w:val="yellow"/>
        </w:rPr>
        <w:t>地 址：</w:t>
      </w:r>
      <w:r>
        <w:rPr>
          <w:rFonts w:hint="eastAsia" w:ascii="Times New Roman" w:hAnsi="Times New Roman"/>
          <w:sz w:val="24"/>
          <w:szCs w:val="18"/>
          <w:highlight w:val="yellow"/>
          <w:lang w:val="en-US" w:eastAsia="zh-CN"/>
        </w:rPr>
        <w:t>亳州汤王大道2266号亳州学院</w:t>
      </w:r>
      <w:r>
        <w:rPr>
          <w:rFonts w:hint="eastAsia" w:ascii="Times New Roman" w:hAnsi="Times New Roman"/>
          <w:sz w:val="24"/>
          <w:szCs w:val="18"/>
          <w:highlight w:val="yellow"/>
          <w:lang w:val="en-US" w:eastAsia="zh-CN"/>
        </w:rPr>
        <w:tab/>
      </w:r>
    </w:p>
    <w:p>
      <w:pPr>
        <w:autoSpaceDE w:val="0"/>
        <w:autoSpaceDN w:val="0"/>
        <w:adjustRightInd w:val="0"/>
        <w:spacing w:line="360" w:lineRule="auto"/>
        <w:ind w:firstLine="480" w:firstLineChars="200"/>
        <w:jc w:val="left"/>
        <w:rPr>
          <w:rFonts w:hint="eastAsia" w:ascii="Times New Roman" w:hAnsi="Times New Roman" w:eastAsia="宋体"/>
          <w:sz w:val="24"/>
          <w:szCs w:val="18"/>
          <w:highlight w:val="yellow"/>
          <w:lang w:val="en-US" w:eastAsia="zh-CN"/>
        </w:rPr>
      </w:pPr>
      <w:r>
        <w:rPr>
          <w:rFonts w:ascii="Times New Roman" w:hAnsi="Times New Roman"/>
          <w:sz w:val="24"/>
          <w:szCs w:val="18"/>
          <w:highlight w:val="yellow"/>
        </w:rPr>
        <w:t>联系人：</w:t>
      </w:r>
      <w:r>
        <w:rPr>
          <w:rFonts w:hint="eastAsia" w:ascii="Times New Roman" w:hAnsi="Times New Roman"/>
          <w:sz w:val="24"/>
          <w:szCs w:val="18"/>
          <w:highlight w:val="yellow"/>
          <w:lang w:val="en-US" w:eastAsia="zh-CN"/>
        </w:rPr>
        <w:t>杨老师</w:t>
      </w:r>
    </w:p>
    <w:p>
      <w:pPr>
        <w:autoSpaceDE w:val="0"/>
        <w:autoSpaceDN w:val="0"/>
        <w:adjustRightInd w:val="0"/>
        <w:spacing w:line="360" w:lineRule="auto"/>
        <w:ind w:firstLine="480" w:firstLineChars="200"/>
        <w:jc w:val="left"/>
        <w:rPr>
          <w:rFonts w:hint="default" w:ascii="Times New Roman" w:hAnsi="Times New Roman" w:eastAsia="宋体"/>
          <w:sz w:val="24"/>
          <w:szCs w:val="18"/>
          <w:highlight w:val="yellow"/>
          <w:lang w:val="en-US" w:eastAsia="zh-CN"/>
        </w:rPr>
      </w:pPr>
      <w:r>
        <w:rPr>
          <w:rFonts w:hint="eastAsia" w:ascii="Times New Roman" w:hAnsi="Times New Roman"/>
          <w:sz w:val="24"/>
          <w:szCs w:val="18"/>
          <w:highlight w:val="yellow"/>
        </w:rPr>
        <w:t>联系电话：</w:t>
      </w:r>
      <w:r>
        <w:rPr>
          <w:rFonts w:hint="eastAsia" w:ascii="Times New Roman" w:hAnsi="Times New Roman"/>
          <w:sz w:val="24"/>
          <w:szCs w:val="18"/>
          <w:highlight w:val="yellow"/>
          <w:lang w:val="en-US" w:eastAsia="zh-CN"/>
        </w:rPr>
        <w:t>3037560</w:t>
      </w:r>
    </w:p>
    <w:p>
      <w:pPr>
        <w:autoSpaceDE w:val="0"/>
        <w:autoSpaceDN w:val="0"/>
        <w:adjustRightInd w:val="0"/>
        <w:spacing w:line="360" w:lineRule="auto"/>
        <w:ind w:firstLine="436" w:firstLineChars="181"/>
        <w:jc w:val="left"/>
        <w:rPr>
          <w:rFonts w:ascii="Times New Roman" w:hAnsi="Times New Roman"/>
          <w:b/>
          <w:bCs/>
          <w:sz w:val="24"/>
          <w:szCs w:val="18"/>
          <w:highlight w:val="none"/>
        </w:rPr>
      </w:pPr>
      <w:r>
        <w:rPr>
          <w:rFonts w:ascii="Times New Roman" w:hAnsi="Times New Roman"/>
          <w:b/>
          <w:bCs/>
          <w:sz w:val="24"/>
          <w:szCs w:val="18"/>
          <w:highlight w:val="none"/>
        </w:rPr>
        <w:t>七、其他事项说明</w:t>
      </w:r>
    </w:p>
    <w:p>
      <w:pPr>
        <w:wordWrap w:val="0"/>
        <w:autoSpaceDE w:val="0"/>
        <w:autoSpaceDN w:val="0"/>
        <w:adjustRightInd w:val="0"/>
        <w:spacing w:line="360" w:lineRule="auto"/>
        <w:ind w:firstLine="480" w:firstLineChars="200"/>
        <w:jc w:val="left"/>
        <w:rPr>
          <w:rFonts w:ascii="Times New Roman" w:hAnsi="Times New Roman"/>
          <w:sz w:val="24"/>
          <w:szCs w:val="18"/>
          <w:highlight w:val="yellow"/>
        </w:rPr>
      </w:pPr>
      <w:r>
        <w:rPr>
          <w:rFonts w:hint="eastAsia" w:ascii="Times New Roman" w:hAnsi="Times New Roman"/>
          <w:sz w:val="24"/>
          <w:szCs w:val="18"/>
          <w:highlight w:val="yellow"/>
          <w:lang w:val="en-US" w:eastAsia="zh-CN"/>
        </w:rPr>
        <w:t>1</w:t>
      </w:r>
      <w:r>
        <w:rPr>
          <w:rFonts w:ascii="Times New Roman" w:hAnsi="Times New Roman"/>
          <w:sz w:val="24"/>
          <w:szCs w:val="18"/>
          <w:highlight w:val="yellow"/>
        </w:rPr>
        <w:t>.本次</w:t>
      </w:r>
      <w:r>
        <w:rPr>
          <w:rFonts w:hint="eastAsia" w:ascii="Times New Roman" w:hAnsi="Times New Roman"/>
          <w:sz w:val="24"/>
          <w:szCs w:val="18"/>
          <w:highlight w:val="yellow"/>
          <w:lang w:eastAsia="zh-CN"/>
        </w:rPr>
        <w:t>比选</w:t>
      </w:r>
      <w:r>
        <w:rPr>
          <w:rFonts w:ascii="Times New Roman" w:hAnsi="Times New Roman"/>
          <w:sz w:val="24"/>
          <w:szCs w:val="18"/>
          <w:highlight w:val="yellow"/>
        </w:rPr>
        <w:t>公告在</w:t>
      </w:r>
      <w:r>
        <w:rPr>
          <w:rFonts w:hint="eastAsia" w:ascii="Times New Roman" w:hAnsi="Times New Roman"/>
          <w:sz w:val="24"/>
          <w:szCs w:val="18"/>
          <w:highlight w:val="yellow"/>
          <w:lang w:eastAsia="zh-CN"/>
        </w:rPr>
        <w:t>亳州学院</w:t>
      </w:r>
      <w:r>
        <w:rPr>
          <w:rFonts w:ascii="Times New Roman" w:hAnsi="Times New Roman"/>
          <w:sz w:val="24"/>
          <w:szCs w:val="18"/>
          <w:highlight w:val="yellow"/>
        </w:rPr>
        <w:t>官网上发布。</w:t>
      </w:r>
    </w:p>
    <w:p>
      <w:pPr>
        <w:autoSpaceDE w:val="0"/>
        <w:autoSpaceDN w:val="0"/>
        <w:adjustRightInd w:val="0"/>
        <w:spacing w:line="360" w:lineRule="auto"/>
        <w:ind w:firstLine="480" w:firstLineChars="200"/>
        <w:jc w:val="left"/>
        <w:rPr>
          <w:rFonts w:ascii="Times New Roman" w:hAnsi="Times New Roman"/>
          <w:sz w:val="24"/>
          <w:szCs w:val="18"/>
          <w:highlight w:val="none"/>
        </w:rPr>
      </w:pPr>
      <w:r>
        <w:rPr>
          <w:rFonts w:hint="eastAsia" w:ascii="Times New Roman" w:hAnsi="Times New Roman"/>
          <w:sz w:val="24"/>
          <w:szCs w:val="18"/>
          <w:highlight w:val="none"/>
          <w:lang w:val="en-US" w:eastAsia="zh-CN"/>
        </w:rPr>
        <w:t>2.</w:t>
      </w:r>
      <w:r>
        <w:rPr>
          <w:rFonts w:ascii="Times New Roman" w:hAnsi="Times New Roman"/>
          <w:sz w:val="24"/>
          <w:szCs w:val="18"/>
          <w:highlight w:val="none"/>
        </w:rPr>
        <w:t>供应商应合理安排</w:t>
      </w:r>
      <w:r>
        <w:rPr>
          <w:rFonts w:hint="eastAsia" w:ascii="Times New Roman" w:hAnsi="Times New Roman"/>
          <w:sz w:val="24"/>
          <w:szCs w:val="18"/>
          <w:highlight w:val="none"/>
          <w:lang w:eastAsia="zh-CN"/>
        </w:rPr>
        <w:t>比选</w:t>
      </w:r>
      <w:r>
        <w:rPr>
          <w:rFonts w:ascii="Times New Roman" w:hAnsi="Times New Roman"/>
          <w:sz w:val="24"/>
          <w:szCs w:val="18"/>
          <w:highlight w:val="none"/>
        </w:rPr>
        <w:t>文件获取时间与邮件查收时间，特别是网络速度慢的地区防止因网络拥堵等问题无法发送资料或查收采购人回复邮件。如果因计算机及网络故障、供应商未及时查阅回复邮件等造成无法完成报名或</w:t>
      </w:r>
      <w:r>
        <w:rPr>
          <w:rFonts w:hint="eastAsia" w:ascii="Times New Roman" w:hAnsi="Times New Roman"/>
          <w:sz w:val="24"/>
          <w:szCs w:val="18"/>
          <w:highlight w:val="none"/>
          <w:lang w:val="en-US" w:eastAsia="zh-CN"/>
        </w:rPr>
        <w:t>比选</w:t>
      </w:r>
      <w:r>
        <w:rPr>
          <w:rFonts w:ascii="Times New Roman" w:hAnsi="Times New Roman"/>
          <w:sz w:val="24"/>
          <w:szCs w:val="18"/>
          <w:highlight w:val="none"/>
        </w:rPr>
        <w:t>文件获取，责任自负。</w:t>
      </w:r>
    </w:p>
    <w:p>
      <w:pPr>
        <w:pStyle w:val="4"/>
        <w:jc w:val="center"/>
        <w:rPr>
          <w:highlight w:val="none"/>
        </w:rPr>
      </w:pPr>
      <w:r>
        <w:rPr>
          <w:highlight w:val="cyan"/>
        </w:rPr>
        <w:br w:type="page"/>
      </w:r>
      <w:bookmarkStart w:id="6" w:name="_Toc1069"/>
      <w:bookmarkStart w:id="7" w:name="_Toc154731042"/>
      <w:r>
        <w:rPr>
          <w:highlight w:val="none"/>
        </w:rPr>
        <w:t>第二章 供应商须知</w:t>
      </w:r>
      <w:bookmarkEnd w:id="6"/>
      <w:bookmarkEnd w:id="7"/>
    </w:p>
    <w:p>
      <w:pPr>
        <w:pStyle w:val="5"/>
        <w:rPr>
          <w:rFonts w:ascii="宋体" w:hAnsi="宋体"/>
          <w:sz w:val="24"/>
          <w:szCs w:val="18"/>
          <w:highlight w:val="none"/>
        </w:rPr>
      </w:pPr>
      <w:bookmarkStart w:id="8" w:name="_Toc1456"/>
      <w:bookmarkStart w:id="9" w:name="_Toc154731043"/>
      <w:r>
        <w:rPr>
          <w:highlight w:val="none"/>
        </w:rPr>
        <w:t>供应商须知前附表</w:t>
      </w:r>
      <w:bookmarkEnd w:id="8"/>
      <w:bookmarkEnd w:id="9"/>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
        <w:gridCol w:w="1895"/>
        <w:gridCol w:w="7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trPr>
        <w:tc>
          <w:tcPr>
            <w:tcW w:w="471" w:type="pct"/>
            <w:vAlign w:val="center"/>
          </w:tcPr>
          <w:p>
            <w:pPr>
              <w:jc w:val="center"/>
              <w:rPr>
                <w:rFonts w:ascii="宋体" w:hAnsi="宋体"/>
                <w:b/>
                <w:sz w:val="24"/>
                <w:highlight w:val="none"/>
              </w:rPr>
            </w:pPr>
            <w:r>
              <w:rPr>
                <w:rFonts w:hint="eastAsia" w:ascii="宋体" w:hAnsi="宋体"/>
                <w:b/>
                <w:sz w:val="24"/>
                <w:highlight w:val="none"/>
              </w:rPr>
              <w:t>条款号</w:t>
            </w:r>
          </w:p>
        </w:tc>
        <w:tc>
          <w:tcPr>
            <w:tcW w:w="962" w:type="pct"/>
            <w:vAlign w:val="center"/>
          </w:tcPr>
          <w:p>
            <w:pPr>
              <w:jc w:val="center"/>
              <w:rPr>
                <w:rFonts w:ascii="宋体" w:hAnsi="宋体"/>
                <w:b/>
                <w:sz w:val="24"/>
                <w:highlight w:val="none"/>
              </w:rPr>
            </w:pPr>
            <w:r>
              <w:rPr>
                <w:rFonts w:hint="eastAsia" w:ascii="宋体" w:hAnsi="宋体"/>
                <w:b/>
                <w:sz w:val="24"/>
                <w:highlight w:val="none"/>
              </w:rPr>
              <w:t>条款名称</w:t>
            </w:r>
          </w:p>
        </w:tc>
        <w:tc>
          <w:tcPr>
            <w:tcW w:w="3566" w:type="pct"/>
            <w:vAlign w:val="center"/>
          </w:tcPr>
          <w:p>
            <w:pPr>
              <w:pStyle w:val="206"/>
              <w:widowControl w:val="0"/>
              <w:spacing w:before="0" w:beforeAutospacing="0" w:after="0" w:afterAutospacing="0"/>
              <w:rPr>
                <w:rFonts w:ascii="宋体" w:hAnsi="宋体"/>
                <w:bCs w:val="0"/>
                <w:kern w:val="2"/>
                <w:sz w:val="24"/>
                <w:szCs w:val="20"/>
                <w:highlight w:val="none"/>
              </w:rPr>
            </w:pPr>
            <w:r>
              <w:rPr>
                <w:rFonts w:hint="eastAsia" w:ascii="宋体" w:hAnsi="宋体"/>
                <w:bCs w:val="0"/>
                <w:kern w:val="2"/>
                <w:sz w:val="24"/>
                <w:szCs w:val="20"/>
                <w:highlight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采购人</w:t>
            </w:r>
          </w:p>
        </w:tc>
        <w:tc>
          <w:tcPr>
            <w:tcW w:w="3566" w:type="pct"/>
            <w:vAlign w:val="center"/>
          </w:tcPr>
          <w:p>
            <w:pPr>
              <w:widowControl/>
              <w:spacing w:line="500" w:lineRule="exact"/>
              <w:rPr>
                <w:rFonts w:hint="eastAsia" w:ascii="宋体" w:hAnsi="宋体" w:eastAsia="宋体"/>
                <w:sz w:val="24"/>
                <w:highlight w:val="none"/>
                <w:lang w:eastAsia="zh-CN"/>
              </w:rPr>
            </w:pPr>
            <w:r>
              <w:rPr>
                <w:rFonts w:hint="eastAsia" w:ascii="宋体" w:hAnsi="宋体"/>
                <w:sz w:val="24"/>
                <w:highlight w:val="none"/>
                <w:lang w:eastAsia="zh-CN"/>
              </w:rPr>
              <w:t>亳州学院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答疑</w:t>
            </w:r>
          </w:p>
        </w:tc>
        <w:tc>
          <w:tcPr>
            <w:tcW w:w="3566" w:type="pct"/>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lang w:eastAsia="zh-CN"/>
              </w:rPr>
            </w:pPr>
            <w:r>
              <w:rPr>
                <w:rFonts w:hint="eastAsia" w:ascii="宋体" w:hAnsi="宋体"/>
                <w:sz w:val="24"/>
                <w:highlight w:val="yellow"/>
                <w:u w:val="single"/>
              </w:rPr>
              <w:t xml:space="preserve">2024 </w:t>
            </w:r>
            <w:r>
              <w:rPr>
                <w:rFonts w:ascii="宋体" w:hAnsi="宋体"/>
                <w:sz w:val="24"/>
                <w:highlight w:val="yellow"/>
              </w:rPr>
              <w:t>年</w:t>
            </w:r>
            <w:r>
              <w:rPr>
                <w:rFonts w:hint="eastAsia" w:ascii="宋体" w:hAnsi="宋体"/>
                <w:sz w:val="24"/>
                <w:highlight w:val="yellow"/>
                <w:u w:val="single"/>
              </w:rPr>
              <w:t xml:space="preserve"> 1 </w:t>
            </w:r>
            <w:r>
              <w:rPr>
                <w:rFonts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31</w:t>
            </w:r>
            <w:r>
              <w:rPr>
                <w:rFonts w:hint="eastAsia" w:ascii="宋体" w:hAnsi="宋体"/>
                <w:sz w:val="24"/>
                <w:highlight w:val="yellow"/>
                <w:u w:val="single"/>
              </w:rPr>
              <w:t xml:space="preserve"> </w:t>
            </w:r>
            <w:r>
              <w:rPr>
                <w:rFonts w:ascii="宋体" w:hAnsi="宋体"/>
                <w:sz w:val="24"/>
                <w:highlight w:val="yellow"/>
              </w:rPr>
              <w:t>日</w:t>
            </w:r>
            <w:r>
              <w:rPr>
                <w:rFonts w:hint="eastAsia" w:ascii="宋体" w:hAnsi="宋体"/>
                <w:sz w:val="24"/>
                <w:highlight w:val="yellow"/>
                <w:u w:val="single"/>
              </w:rPr>
              <w:t xml:space="preserve"> 16 </w:t>
            </w:r>
            <w:r>
              <w:rPr>
                <w:rFonts w:ascii="宋体" w:hAnsi="宋体"/>
                <w:sz w:val="24"/>
                <w:highlight w:val="yellow"/>
              </w:rPr>
              <w:t>时</w:t>
            </w:r>
            <w:r>
              <w:rPr>
                <w:rFonts w:hint="eastAsia" w:ascii="宋体" w:hAnsi="宋体"/>
                <w:sz w:val="24"/>
                <w:highlight w:val="yellow"/>
                <w:u w:val="single"/>
              </w:rPr>
              <w:t xml:space="preserve"> 30 </w:t>
            </w:r>
            <w:r>
              <w:rPr>
                <w:rFonts w:ascii="宋体" w:hAnsi="宋体"/>
                <w:sz w:val="24"/>
                <w:highlight w:val="yellow"/>
              </w:rPr>
              <w:t>分</w:t>
            </w:r>
            <w:r>
              <w:rPr>
                <w:rFonts w:ascii="宋体" w:hAnsi="宋体"/>
                <w:sz w:val="24"/>
                <w:highlight w:val="none"/>
              </w:rPr>
              <w:t>前接收书面答疑，同时请提交一份与书面疑问内容一致的电子版发至</w:t>
            </w:r>
            <w:r>
              <w:rPr>
                <w:rFonts w:ascii="宋体" w:hAnsi="宋体"/>
                <w:sz w:val="24"/>
                <w:highlight w:val="yellow"/>
              </w:rPr>
              <w:t>邮箱：</w:t>
            </w:r>
            <w:r>
              <w:rPr>
                <w:rFonts w:hint="eastAsia" w:ascii="Times New Roman" w:hAnsi="Times New Roman"/>
                <w:sz w:val="24"/>
                <w:szCs w:val="18"/>
                <w:highlight w:val="yellow"/>
                <w:lang w:val="en-US" w:eastAsia="zh-CN"/>
              </w:rPr>
              <w:t>bzxyzb@bzuu.edu.cn</w:t>
            </w:r>
            <w:r>
              <w:rPr>
                <w:rFonts w:ascii="宋体" w:hAnsi="宋体"/>
                <w:sz w:val="24"/>
                <w:highlight w:val="none"/>
              </w:rPr>
              <w:t>（需加盖公章）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hint="eastAsia" w:ascii="宋体" w:hAnsi="宋体" w:eastAsia="宋体" w:cs="Times New Roman"/>
                <w:kern w:val="2"/>
                <w:sz w:val="24"/>
                <w:szCs w:val="20"/>
                <w:highlight w:val="none"/>
                <w:lang w:val="en-US" w:eastAsia="zh-CN" w:bidi="ar-SA"/>
              </w:rPr>
            </w:pPr>
            <w:r>
              <w:rPr>
                <w:rFonts w:hint="eastAsia" w:ascii="宋体" w:hAnsi="宋体"/>
                <w:kern w:val="2"/>
                <w:highlight w:val="none"/>
                <w:lang w:val="en-US" w:eastAsia="zh-CN"/>
              </w:rPr>
              <w:t>响应文件制作</w:t>
            </w:r>
          </w:p>
        </w:tc>
        <w:tc>
          <w:tcPr>
            <w:tcW w:w="3566" w:type="pct"/>
            <w:vAlign w:val="center"/>
          </w:tcPr>
          <w:p>
            <w:pPr>
              <w:widowControl/>
              <w:numPr>
                <w:ilvl w:val="0"/>
                <w:numId w:val="0"/>
              </w:numPr>
              <w:spacing w:line="500" w:lineRule="exact"/>
              <w:rPr>
                <w:rFonts w:hint="eastAsia" w:ascii="宋体" w:hAnsi="宋体"/>
                <w:sz w:val="24"/>
                <w:highlight w:val="none"/>
                <w:lang w:eastAsia="zh-CN"/>
              </w:rPr>
            </w:pPr>
            <w:r>
              <w:rPr>
                <w:rFonts w:hint="eastAsia" w:ascii="宋体" w:hAnsi="宋体" w:eastAsia="宋体" w:cs="Times New Roman"/>
                <w:kern w:val="2"/>
                <w:sz w:val="24"/>
                <w:lang w:val="en-US" w:eastAsia="zh-CN" w:bidi="ar-SA"/>
              </w:rPr>
              <w:t>1、</w:t>
            </w:r>
            <w:r>
              <w:rPr>
                <w:rFonts w:hint="eastAsia" w:ascii="宋体" w:hAnsi="宋体"/>
                <w:sz w:val="24"/>
                <w:highlight w:val="none"/>
                <w:lang w:eastAsia="zh-CN"/>
              </w:rPr>
              <w:t>供应商应按比选文件提供的响应文件格式及要求编写响应文件，具体内容详见第六章响应文件格式的相关内容。</w:t>
            </w:r>
          </w:p>
          <w:p>
            <w:pPr>
              <w:widowControl/>
              <w:numPr>
                <w:ilvl w:val="0"/>
                <w:numId w:val="0"/>
              </w:numPr>
              <w:spacing w:line="500" w:lineRule="exact"/>
              <w:rPr>
                <w:rFonts w:hint="eastAsia" w:ascii="宋体" w:hAnsi="宋体"/>
                <w:sz w:val="24"/>
                <w:highlight w:val="none"/>
                <w:lang w:eastAsia="zh-CN"/>
              </w:rPr>
            </w:pPr>
            <w:r>
              <w:rPr>
                <w:rFonts w:hint="eastAsia" w:ascii="宋体" w:hAnsi="宋体" w:eastAsia="宋体" w:cs="Times New Roman"/>
                <w:kern w:val="2"/>
                <w:sz w:val="24"/>
                <w:lang w:val="en-US" w:eastAsia="zh-CN" w:bidi="ar-SA"/>
              </w:rPr>
              <w:t>2、</w:t>
            </w:r>
            <w:r>
              <w:rPr>
                <w:rFonts w:hint="eastAsia" w:ascii="宋体" w:hAnsi="宋体"/>
                <w:sz w:val="24"/>
                <w:highlight w:val="none"/>
                <w:lang w:eastAsia="zh-CN"/>
              </w:rPr>
              <w:t>上述文件应按照比选文件规定的格式填写、签署和盖章。</w:t>
            </w:r>
          </w:p>
          <w:p>
            <w:pPr>
              <w:pageBreakBefore w:val="0"/>
              <w:kinsoku/>
              <w:overflowPunct/>
              <w:topLinePunct w:val="0"/>
              <w:autoSpaceDE/>
              <w:autoSpaceDN/>
              <w:bidi w:val="0"/>
              <w:adjustRightInd/>
              <w:snapToGrid/>
              <w:spacing w:line="520" w:lineRule="exact"/>
              <w:textAlignment w:val="auto"/>
              <w:rPr>
                <w:rFonts w:ascii="宋体" w:hAnsi="宋体"/>
                <w:sz w:val="24"/>
                <w:highlight w:val="none"/>
              </w:rPr>
            </w:pPr>
            <w:r>
              <w:rPr>
                <w:rFonts w:hint="eastAsia" w:ascii="宋体" w:hAnsi="宋体"/>
                <w:sz w:val="24"/>
                <w:highlight w:val="none"/>
                <w:lang w:val="en-US" w:eastAsia="zh-CN"/>
              </w:rPr>
              <w:t>3、</w:t>
            </w:r>
            <w:r>
              <w:rPr>
                <w:rFonts w:hint="eastAsia" w:ascii="宋体" w:hAnsi="宋体"/>
                <w:sz w:val="24"/>
                <w:highlight w:val="none"/>
                <w:lang w:eastAsia="zh-CN"/>
              </w:rPr>
              <w:t>比选</w:t>
            </w:r>
            <w:r>
              <w:rPr>
                <w:rFonts w:hint="eastAsia" w:ascii="宋体" w:hAnsi="宋体"/>
                <w:sz w:val="24"/>
                <w:highlight w:val="none"/>
              </w:rPr>
              <w:t>文件中明确要求加盖公章的，供应商必须加盖供应商公章。在有授权文件表明投标专用章法律效力等同于供应商公章的情况下，可以加盖投标专用章，否则将导致</w:t>
            </w:r>
            <w:r>
              <w:rPr>
                <w:rFonts w:hint="eastAsia" w:ascii="宋体" w:hAnsi="宋体"/>
                <w:b/>
                <w:sz w:val="24"/>
                <w:highlight w:val="none"/>
              </w:rPr>
              <w:t>响应无效</w:t>
            </w:r>
            <w:r>
              <w:rPr>
                <w:rFonts w:hint="eastAsia" w:ascii="宋体" w:hAnsi="宋体"/>
                <w:sz w:val="24"/>
                <w:highlight w:val="none"/>
              </w:rPr>
              <w:t>。</w:t>
            </w:r>
          </w:p>
          <w:p>
            <w:pPr>
              <w:widowControl/>
              <w:numPr>
                <w:ilvl w:val="0"/>
                <w:numId w:val="0"/>
              </w:numPr>
              <w:spacing w:line="500" w:lineRule="exact"/>
              <w:rPr>
                <w:rFonts w:hint="eastAsia" w:ascii="宋体" w:hAnsi="宋体"/>
                <w:sz w:val="24"/>
                <w:highlight w:val="none"/>
                <w:lang w:eastAsia="zh-CN"/>
              </w:rPr>
            </w:pPr>
            <w:r>
              <w:rPr>
                <w:rFonts w:hint="eastAsia" w:ascii="宋体" w:hAnsi="宋体"/>
                <w:sz w:val="24"/>
                <w:highlight w:val="none"/>
              </w:rPr>
              <w:t>4</w:t>
            </w:r>
            <w:r>
              <w:rPr>
                <w:rFonts w:hint="eastAsia" w:ascii="宋体" w:hAnsi="宋体"/>
                <w:sz w:val="24"/>
                <w:highlight w:val="none"/>
                <w:lang w:eastAsia="zh-CN"/>
              </w:rPr>
              <w:t>、</w:t>
            </w:r>
            <w:r>
              <w:rPr>
                <w:rFonts w:hint="eastAsia" w:ascii="宋体" w:hAnsi="宋体"/>
                <w:sz w:val="24"/>
                <w:highlight w:val="none"/>
              </w:rPr>
              <w:t>供应商资质证书（或资格证明）处于年检、换证、升级、变更等期间，除非有法律法规或发证机构书面材料明确表明供应商资质（或资格)有效，否则一律不予认可。</w:t>
            </w:r>
          </w:p>
          <w:p>
            <w:pPr>
              <w:widowControl/>
              <w:numPr>
                <w:ilvl w:val="0"/>
                <w:numId w:val="0"/>
              </w:numPr>
              <w:spacing w:line="500" w:lineRule="exact"/>
              <w:rPr>
                <w:rFonts w:hint="default"/>
                <w:lang w:val="en-US" w:eastAsia="zh-CN"/>
              </w:rPr>
            </w:pPr>
            <w:r>
              <w:rPr>
                <w:rFonts w:hint="eastAsia" w:ascii="宋体" w:hAnsi="宋体"/>
                <w:sz w:val="24"/>
                <w:highlight w:val="none"/>
                <w:lang w:val="en-US" w:eastAsia="zh-CN"/>
              </w:rPr>
              <w:t>5、</w:t>
            </w:r>
            <w:r>
              <w:rPr>
                <w:rFonts w:hint="eastAsia" w:ascii="宋体" w:hAnsi="宋体"/>
                <w:sz w:val="24"/>
                <w:highlight w:val="none"/>
              </w:rPr>
              <w:t>响应文件应字迹清楚、编排有序、内容齐全、不得涂改或增删。如有错漏处必须修改，应在修改处加盖供应商公章。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hint="default" w:ascii="宋体" w:hAnsi="宋体" w:eastAsia="宋体"/>
                <w:kern w:val="2"/>
                <w:highlight w:val="none"/>
                <w:lang w:val="en-US" w:eastAsia="zh-CN"/>
              </w:rPr>
            </w:pPr>
            <w:r>
              <w:rPr>
                <w:rFonts w:hint="eastAsia" w:ascii="宋体" w:hAnsi="宋体"/>
                <w:kern w:val="2"/>
                <w:highlight w:val="none"/>
                <w:lang w:val="en-US" w:eastAsia="zh-CN"/>
              </w:rPr>
              <w:t>响应报价</w:t>
            </w:r>
          </w:p>
        </w:tc>
        <w:tc>
          <w:tcPr>
            <w:tcW w:w="3566" w:type="pct"/>
            <w:vAlign w:val="center"/>
          </w:tcPr>
          <w:p>
            <w:pPr>
              <w:keepNext w:val="0"/>
              <w:keepLines w:val="0"/>
              <w:pageBreakBefore w:val="0"/>
              <w:widowControl/>
              <w:numPr>
                <w:ilvl w:val="0"/>
                <w:numId w:val="2"/>
              </w:numPr>
              <w:kinsoku/>
              <w:wordWrap/>
              <w:overflowPunct/>
              <w:topLinePunct w:val="0"/>
              <w:autoSpaceDE/>
              <w:autoSpaceDN/>
              <w:bidi w:val="0"/>
              <w:adjustRightInd/>
              <w:snapToGrid/>
              <w:spacing w:line="500" w:lineRule="exact"/>
              <w:textAlignment w:val="auto"/>
              <w:rPr>
                <w:rFonts w:ascii="宋体" w:hAnsi="宋体"/>
                <w:sz w:val="24"/>
                <w:szCs w:val="24"/>
                <w:highlight w:val="none"/>
              </w:rPr>
            </w:pPr>
            <w:r>
              <w:rPr>
                <w:rFonts w:ascii="宋体" w:hAnsi="宋体"/>
                <w:sz w:val="24"/>
                <w:highlight w:val="none"/>
              </w:rPr>
              <w:t>供应商的报价应当包括满足本次</w:t>
            </w:r>
            <w:r>
              <w:rPr>
                <w:rFonts w:hint="eastAsia" w:ascii="宋体" w:hAnsi="宋体"/>
                <w:sz w:val="24"/>
                <w:highlight w:val="none"/>
                <w:lang w:eastAsia="zh-CN"/>
              </w:rPr>
              <w:t>比选</w:t>
            </w:r>
            <w:r>
              <w:rPr>
                <w:rFonts w:ascii="宋体" w:hAnsi="宋体"/>
                <w:sz w:val="24"/>
                <w:highlight w:val="none"/>
              </w:rPr>
              <w:t>全部采购需求所应提供的服务，所有内容均应以人民币报价，</w:t>
            </w:r>
            <w:r>
              <w:rPr>
                <w:rFonts w:hint="eastAsia"/>
                <w:sz w:val="24"/>
                <w:szCs w:val="24"/>
                <w:highlight w:val="none"/>
                <w:lang w:val="en-US" w:eastAsia="zh-CN"/>
              </w:rPr>
              <w:t>报价规定如下：</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rPr>
                <w:rFonts w:hint="eastAsia" w:ascii="宋体" w:hAnsi="宋体"/>
                <w:sz w:val="24"/>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cs="宋体"/>
                <w:color w:val="auto"/>
                <w:sz w:val="24"/>
                <w:szCs w:val="24"/>
                <w:highlight w:val="none"/>
                <w:lang w:val="en-US" w:eastAsia="zh-CN"/>
              </w:rPr>
              <w:t>中标价30万以上（不包含30万）</w:t>
            </w:r>
            <w:r>
              <w:rPr>
                <w:rFonts w:hint="eastAsia" w:ascii="宋体" w:hAnsi="宋体"/>
                <w:sz w:val="24"/>
                <w:highlight w:val="none"/>
                <w:lang w:eastAsia="zh-CN"/>
              </w:rPr>
              <w:t>投标报价采用折扣方式进行报价，代理服务费参照原国家计委计价格【2002】1980号文件中规定的取费标准报出折扣费率，根据委托人向招标代理服务机构所发项目委托招标书，招标代理服务费向项目中标单位收取；</w:t>
            </w:r>
          </w:p>
          <w:p>
            <w:pPr>
              <w:pageBreakBefore w:val="0"/>
              <w:kinsoku/>
              <w:wordWrap/>
              <w:overflowPunct/>
              <w:topLinePunct w:val="0"/>
              <w:autoSpaceDE/>
              <w:autoSpaceDN/>
              <w:bidi w:val="0"/>
              <w:spacing w:line="520" w:lineRule="exact"/>
              <w:textAlignment w:val="auto"/>
              <w:rPr>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hint="eastAsia" w:ascii="宋体" w:hAnsi="宋体" w:cs="宋体"/>
                <w:color w:val="auto"/>
                <w:sz w:val="24"/>
                <w:szCs w:val="24"/>
                <w:highlight w:val="none"/>
                <w:lang w:val="en-US" w:eastAsia="zh-CN"/>
              </w:rPr>
              <w:t>中标价30万以内（包含30万）</w:t>
            </w:r>
            <w:r>
              <w:rPr>
                <w:rFonts w:hint="eastAsia" w:ascii="宋体" w:hAnsi="宋体"/>
                <w:sz w:val="24"/>
                <w:highlight w:val="none"/>
                <w:lang w:eastAsia="zh-CN"/>
              </w:rPr>
              <w:t>代理服务费可设保底金额，总体按保底报价及折扣费率综合评分。</w:t>
            </w:r>
          </w:p>
          <w:p>
            <w:pPr>
              <w:keepNext w:val="0"/>
              <w:keepLines w:val="0"/>
              <w:pageBreakBefore w:val="0"/>
              <w:kinsoku/>
              <w:wordWrap/>
              <w:overflowPunct/>
              <w:topLinePunct w:val="0"/>
              <w:autoSpaceDE/>
              <w:autoSpaceDN/>
              <w:bidi w:val="0"/>
              <w:adjustRightInd/>
              <w:snapToGrid/>
              <w:spacing w:line="500" w:lineRule="exact"/>
              <w:textAlignment w:val="auto"/>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响应文件只允许有一个</w:t>
            </w:r>
            <w:r>
              <w:rPr>
                <w:rFonts w:hint="eastAsia" w:ascii="宋体" w:hAnsi="宋体"/>
                <w:sz w:val="24"/>
                <w:highlight w:val="none"/>
                <w:lang w:val="en-US" w:eastAsia="zh-CN"/>
              </w:rPr>
              <w:t>响应</w:t>
            </w:r>
            <w:r>
              <w:rPr>
                <w:rFonts w:hint="eastAsia" w:ascii="宋体" w:hAnsi="宋体"/>
                <w:sz w:val="24"/>
                <w:highlight w:val="none"/>
              </w:rPr>
              <w:t>报价，任何有选择的报价或替代方案将导致</w:t>
            </w:r>
            <w:r>
              <w:rPr>
                <w:rFonts w:hint="eastAsia" w:ascii="宋体" w:hAnsi="宋体"/>
                <w:b/>
                <w:sz w:val="24"/>
                <w:highlight w:val="none"/>
              </w:rPr>
              <w:t>响应无效</w:t>
            </w:r>
            <w:r>
              <w:rPr>
                <w:rFonts w:hint="eastAsia" w:ascii="宋体" w:hAnsi="宋体"/>
                <w:sz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rPr>
                <w:rFonts w:ascii="宋体" w:hAnsi="宋体"/>
                <w:sz w:val="24"/>
                <w:highlight w:val="none"/>
              </w:rPr>
            </w:pPr>
            <w:r>
              <w:rPr>
                <w:rFonts w:hint="eastAsia" w:ascii="宋体" w:hAnsi="宋体"/>
                <w:sz w:val="24"/>
                <w:highlight w:val="none"/>
                <w:lang w:val="en-US" w:eastAsia="zh-CN"/>
              </w:rPr>
              <w:t>3、</w:t>
            </w:r>
            <w:r>
              <w:rPr>
                <w:rFonts w:ascii="宋体" w:hAnsi="宋体"/>
                <w:sz w:val="24"/>
                <w:highlight w:val="none"/>
              </w:rPr>
              <w:t>报价在合同履行过程中是固定不变的，不得以任何理由予以变更。任何包含价格调整要求的</w:t>
            </w:r>
            <w:r>
              <w:rPr>
                <w:rFonts w:hint="eastAsia" w:ascii="宋体" w:hAnsi="宋体"/>
                <w:sz w:val="24"/>
                <w:highlight w:val="none"/>
                <w:lang w:eastAsia="zh-CN"/>
              </w:rPr>
              <w:t>比选</w:t>
            </w:r>
            <w:r>
              <w:rPr>
                <w:rFonts w:ascii="宋体" w:hAnsi="宋体"/>
                <w:sz w:val="24"/>
                <w:highlight w:val="none"/>
              </w:rPr>
              <w:t>，其响应文件将被认定为</w:t>
            </w:r>
            <w:r>
              <w:rPr>
                <w:rFonts w:ascii="宋体" w:hAnsi="宋体"/>
                <w:b/>
                <w:sz w:val="24"/>
                <w:highlight w:val="none"/>
              </w:rPr>
              <w:t>响应无效</w:t>
            </w:r>
            <w:r>
              <w:rPr>
                <w:rFonts w:ascii="宋体" w:hAnsi="宋体"/>
                <w:sz w:val="24"/>
                <w:highlight w:val="none"/>
              </w:rPr>
              <w:t>。采购人不接受具有附加条件的报价，</w:t>
            </w:r>
            <w:r>
              <w:rPr>
                <w:rFonts w:hint="eastAsia" w:ascii="宋体" w:hAnsi="宋体"/>
                <w:sz w:val="24"/>
                <w:highlight w:val="none"/>
              </w:rPr>
              <w:t>响应文件中含有附加条件的报价，其响应文件将被认定为</w:t>
            </w:r>
            <w:r>
              <w:rPr>
                <w:rFonts w:hint="eastAsia" w:ascii="宋体" w:hAnsi="宋体"/>
                <w:b/>
                <w:sz w:val="24"/>
                <w:highlight w:val="none"/>
              </w:rPr>
              <w:t>响应无效</w:t>
            </w:r>
            <w:r>
              <w:rPr>
                <w:rFonts w:ascii="宋体" w:hAnsi="宋体"/>
                <w:sz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500" w:lineRule="exact"/>
              <w:textAlignment w:val="auto"/>
              <w:rPr>
                <w:rFonts w:hint="eastAsia" w:eastAsia="宋体"/>
                <w:highlight w:val="none"/>
                <w:lang w:val="en-US" w:eastAsia="zh-CN"/>
              </w:rPr>
            </w:pPr>
            <w:r>
              <w:rPr>
                <w:rFonts w:hint="eastAsia" w:ascii="宋体" w:hAnsi="宋体"/>
                <w:sz w:val="24"/>
                <w:highlight w:val="none"/>
                <w:lang w:val="en-US" w:eastAsia="zh-CN"/>
              </w:rPr>
              <w:t>4、</w:t>
            </w:r>
            <w:r>
              <w:rPr>
                <w:rFonts w:hint="eastAsia" w:ascii="宋体" w:hAnsi="宋体"/>
                <w:sz w:val="24"/>
                <w:highlight w:val="none"/>
              </w:rPr>
              <w:t>除非</w:t>
            </w:r>
            <w:r>
              <w:rPr>
                <w:rFonts w:hint="eastAsia" w:ascii="宋体" w:hAnsi="宋体"/>
                <w:sz w:val="24"/>
                <w:highlight w:val="none"/>
                <w:lang w:eastAsia="zh-CN"/>
              </w:rPr>
              <w:t>比选</w:t>
            </w:r>
            <w:r>
              <w:rPr>
                <w:rFonts w:hint="eastAsia" w:ascii="宋体" w:hAnsi="宋体"/>
                <w:sz w:val="24"/>
                <w:highlight w:val="none"/>
              </w:rPr>
              <w:t>文件另有规定，报价可精确到小数点后两位，如不足两位，按照两位计算，如超出两位，按照四舍五入方式计算至小数点后两位</w:t>
            </w:r>
            <w:r>
              <w:rPr>
                <w:rFonts w:hint="eastAsia" w:ascii="宋体" w:hAnsi="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lang w:eastAsia="zh-CN"/>
              </w:rPr>
              <w:t>比选</w:t>
            </w:r>
            <w:r>
              <w:rPr>
                <w:rFonts w:hint="eastAsia" w:ascii="宋体" w:hAnsi="宋体"/>
                <w:kern w:val="2"/>
                <w:highlight w:val="none"/>
              </w:rPr>
              <w:t>保证金</w:t>
            </w:r>
          </w:p>
        </w:tc>
        <w:tc>
          <w:tcPr>
            <w:tcW w:w="3566" w:type="pct"/>
            <w:vAlign w:val="center"/>
          </w:tcPr>
          <w:p>
            <w:pPr>
              <w:widowControl/>
              <w:spacing w:line="500" w:lineRule="exact"/>
              <w:rPr>
                <w:rFonts w:ascii="宋体" w:hAnsi="宋体"/>
                <w:sz w:val="24"/>
                <w:highlight w:val="none"/>
              </w:rPr>
            </w:pPr>
            <w:r>
              <w:rPr>
                <w:rFonts w:hint="eastAsia" w:ascii="宋体" w:hAnsi="宋体"/>
                <w:sz w:val="24"/>
                <w:highlight w:val="none"/>
              </w:rPr>
              <w:t>免收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lang w:eastAsia="zh-CN"/>
              </w:rPr>
              <w:t>比选</w:t>
            </w:r>
            <w:r>
              <w:rPr>
                <w:rFonts w:hint="eastAsia" w:ascii="宋体" w:hAnsi="宋体"/>
                <w:kern w:val="2"/>
                <w:highlight w:val="none"/>
              </w:rPr>
              <w:t>有效期</w:t>
            </w:r>
          </w:p>
        </w:tc>
        <w:tc>
          <w:tcPr>
            <w:tcW w:w="3566" w:type="pct"/>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highlight w:val="none"/>
                <w:lang w:eastAsia="zh-CN"/>
              </w:rPr>
            </w:pPr>
            <w:r>
              <w:rPr>
                <w:rFonts w:hint="eastAsia" w:ascii="宋体" w:hAnsi="宋体"/>
                <w:sz w:val="24"/>
                <w:highlight w:val="none"/>
                <w:u w:val="single"/>
              </w:rPr>
              <w:t xml:space="preserve"> 90 </w:t>
            </w:r>
            <w:r>
              <w:rPr>
                <w:rFonts w:hint="eastAsia" w:ascii="宋体" w:hAnsi="宋体"/>
                <w:sz w:val="24"/>
                <w:highlight w:val="none"/>
              </w:rPr>
              <w:t>日历</w:t>
            </w:r>
            <w:r>
              <w:rPr>
                <w:rFonts w:hint="eastAsia" w:ascii="宋体" w:hAnsi="宋体"/>
                <w:sz w:val="24"/>
                <w:highlight w:val="none"/>
                <w:lang w:val="en-US" w:eastAsia="zh-CN"/>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响应文件</w:t>
            </w:r>
            <w:r>
              <w:rPr>
                <w:rFonts w:hint="eastAsia" w:ascii="宋体" w:hAnsi="宋体"/>
                <w:kern w:val="2"/>
                <w:highlight w:val="none"/>
                <w:lang w:val="en-US" w:eastAsia="zh-CN"/>
              </w:rPr>
              <w:t>包装、</w:t>
            </w:r>
            <w:r>
              <w:rPr>
                <w:rFonts w:hint="eastAsia" w:ascii="宋体" w:hAnsi="宋体"/>
                <w:kern w:val="2"/>
                <w:highlight w:val="none"/>
              </w:rPr>
              <w:t>份数及要求</w:t>
            </w:r>
          </w:p>
        </w:tc>
        <w:tc>
          <w:tcPr>
            <w:tcW w:w="3566" w:type="pct"/>
            <w:vAlign w:val="center"/>
          </w:tcPr>
          <w:p>
            <w:pPr>
              <w:pageBreakBefore w:val="0"/>
              <w:kinsoku/>
              <w:overflowPunct/>
              <w:topLinePunct w:val="0"/>
              <w:autoSpaceDE/>
              <w:autoSpaceDN/>
              <w:bidi w:val="0"/>
              <w:adjustRightInd/>
              <w:snapToGrid/>
              <w:spacing w:line="520" w:lineRule="exact"/>
              <w:ind w:left="0" w:leftChars="0" w:firstLine="0" w:firstLineChars="0"/>
              <w:textAlignment w:val="auto"/>
              <w:rPr>
                <w:rFonts w:ascii="宋体" w:hAnsi="宋体"/>
                <w:sz w:val="24"/>
                <w:highlight w:val="none"/>
              </w:rPr>
            </w:pPr>
            <w:r>
              <w:rPr>
                <w:rFonts w:hint="eastAsia" w:ascii="宋体" w:hAnsi="宋体"/>
                <w:sz w:val="24"/>
                <w:highlight w:val="none"/>
              </w:rPr>
              <w:t>一份正本，</w:t>
            </w:r>
            <w:r>
              <w:rPr>
                <w:rFonts w:hint="eastAsia" w:ascii="宋体" w:hAnsi="宋体"/>
                <w:sz w:val="24"/>
                <w:highlight w:val="none"/>
                <w:lang w:val="en-US" w:eastAsia="zh-CN"/>
              </w:rPr>
              <w:t>二</w:t>
            </w:r>
            <w:r>
              <w:rPr>
                <w:rFonts w:hint="eastAsia" w:ascii="宋体" w:hAnsi="宋体"/>
                <w:sz w:val="24"/>
                <w:highlight w:val="none"/>
              </w:rPr>
              <w:t>份副本，密封提交响应文件应按以下要求密封和标记：</w:t>
            </w:r>
          </w:p>
          <w:p>
            <w:pPr>
              <w:pageBreakBefore w:val="0"/>
              <w:kinsoku/>
              <w:overflowPunct/>
              <w:topLinePunct w:val="0"/>
              <w:autoSpaceDE/>
              <w:autoSpaceDN/>
              <w:bidi w:val="0"/>
              <w:adjustRightInd/>
              <w:snapToGrid/>
              <w:spacing w:line="520" w:lineRule="exact"/>
              <w:ind w:left="0" w:leftChars="0" w:firstLine="0" w:firstLineChars="0"/>
              <w:textAlignment w:val="auto"/>
              <w:rPr>
                <w:rFonts w:ascii="宋体" w:hAnsi="宋体"/>
                <w:sz w:val="24"/>
                <w:highlight w:val="none"/>
              </w:rPr>
            </w:pPr>
            <w:r>
              <w:rPr>
                <w:rFonts w:ascii="宋体" w:hAnsi="宋体"/>
                <w:sz w:val="24"/>
                <w:highlight w:val="none"/>
              </w:rPr>
              <w:t>（1）</w:t>
            </w:r>
            <w:r>
              <w:rPr>
                <w:rFonts w:hint="eastAsia" w:ascii="宋体" w:hAnsi="宋体"/>
                <w:sz w:val="24"/>
                <w:highlight w:val="none"/>
              </w:rPr>
              <w:t>响应文件应装订成册并封装，并在密封袋上标注项目名称、项目编号、供应商名称及包别。</w:t>
            </w:r>
          </w:p>
          <w:p>
            <w:pPr>
              <w:pageBreakBefore w:val="0"/>
              <w:kinsoku/>
              <w:overflowPunct/>
              <w:topLinePunct w:val="0"/>
              <w:autoSpaceDE/>
              <w:autoSpaceDN/>
              <w:bidi w:val="0"/>
              <w:adjustRightInd/>
              <w:snapToGrid/>
              <w:spacing w:line="520" w:lineRule="exact"/>
              <w:ind w:left="0" w:leftChars="0" w:firstLine="0" w:firstLineChars="0"/>
              <w:textAlignment w:val="auto"/>
              <w:rPr>
                <w:rFonts w:ascii="宋体" w:hAnsi="宋体"/>
                <w:sz w:val="24"/>
                <w:highlight w:val="none"/>
              </w:rPr>
            </w:pPr>
            <w:r>
              <w:rPr>
                <w:rFonts w:hint="eastAsia" w:ascii="宋体" w:hAnsi="宋体"/>
                <w:sz w:val="24"/>
                <w:highlight w:val="none"/>
              </w:rPr>
              <w:t>（2）建议供应商将正本单独封装，全部副本一起封装。并在封袋上明确标明“正本”和“副本”字样。所有响应文件必须在封袋骑封处加贴封条。正本与副本不一致时，以正本为准。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响应文件提交截止时间</w:t>
            </w:r>
          </w:p>
        </w:tc>
        <w:tc>
          <w:tcPr>
            <w:tcW w:w="3566" w:type="pct"/>
            <w:vAlign w:val="center"/>
          </w:tcPr>
          <w:p>
            <w:pPr>
              <w:pageBreakBefore w:val="0"/>
              <w:numPr>
                <w:ilvl w:val="0"/>
                <w:numId w:val="3"/>
              </w:numPr>
              <w:kinsoku/>
              <w:overflowPunct/>
              <w:topLinePunct w:val="0"/>
              <w:autoSpaceDE/>
              <w:autoSpaceDN/>
              <w:bidi w:val="0"/>
              <w:adjustRightInd/>
              <w:snapToGrid/>
              <w:spacing w:line="520" w:lineRule="exact"/>
              <w:textAlignment w:val="auto"/>
              <w:rPr>
                <w:rFonts w:hint="eastAsia" w:ascii="宋体" w:hAnsi="宋体"/>
                <w:sz w:val="24"/>
                <w:highlight w:val="none"/>
              </w:rPr>
            </w:pPr>
            <w:r>
              <w:rPr>
                <w:rFonts w:hint="eastAsia" w:ascii="宋体" w:hAnsi="宋体"/>
                <w:sz w:val="24"/>
                <w:highlight w:val="none"/>
              </w:rPr>
              <w:t>详见</w:t>
            </w:r>
            <w:r>
              <w:rPr>
                <w:rFonts w:hint="eastAsia" w:ascii="宋体" w:hAnsi="宋体"/>
                <w:sz w:val="24"/>
                <w:highlight w:val="none"/>
                <w:lang w:val="en-US" w:eastAsia="zh-CN"/>
              </w:rPr>
              <w:t>时间</w:t>
            </w:r>
            <w:r>
              <w:rPr>
                <w:rFonts w:hint="eastAsia" w:ascii="宋体" w:hAnsi="宋体"/>
                <w:sz w:val="24"/>
                <w:highlight w:val="none"/>
                <w:lang w:eastAsia="zh-CN"/>
              </w:rPr>
              <w:t>比选</w:t>
            </w:r>
            <w:r>
              <w:rPr>
                <w:rFonts w:hint="eastAsia" w:ascii="宋体" w:hAnsi="宋体"/>
                <w:sz w:val="24"/>
                <w:highlight w:val="none"/>
              </w:rPr>
              <w:t>公告</w:t>
            </w:r>
            <w:r>
              <w:rPr>
                <w:rFonts w:hint="eastAsia" w:ascii="宋体" w:hAnsi="宋体"/>
                <w:sz w:val="24"/>
                <w:highlight w:val="none"/>
                <w:lang w:eastAsia="zh-CN"/>
              </w:rPr>
              <w:t>，</w:t>
            </w:r>
            <w:r>
              <w:rPr>
                <w:rFonts w:hint="eastAsia" w:ascii="宋体" w:hAnsi="宋体"/>
                <w:sz w:val="24"/>
                <w:highlight w:val="none"/>
              </w:rPr>
              <w:t>供应商应当在</w:t>
            </w:r>
            <w:r>
              <w:rPr>
                <w:rFonts w:hint="eastAsia" w:ascii="宋体" w:hAnsi="宋体"/>
                <w:sz w:val="24"/>
                <w:highlight w:val="none"/>
                <w:lang w:eastAsia="zh-CN"/>
              </w:rPr>
              <w:t>比选</w:t>
            </w:r>
            <w:r>
              <w:rPr>
                <w:rFonts w:ascii="宋体" w:hAnsi="宋体"/>
                <w:sz w:val="24"/>
                <w:highlight w:val="none"/>
              </w:rPr>
              <w:t>公告规定的响应文件提交截止时间前，将</w:t>
            </w:r>
            <w:r>
              <w:rPr>
                <w:rFonts w:hint="eastAsia" w:ascii="宋体" w:hAnsi="宋体"/>
                <w:sz w:val="24"/>
                <w:highlight w:val="none"/>
              </w:rPr>
              <w:t>响应</w:t>
            </w:r>
            <w:r>
              <w:rPr>
                <w:rFonts w:hint="eastAsia" w:ascii="宋体" w:hAnsi="宋体"/>
                <w:sz w:val="24"/>
                <w:highlight w:val="none"/>
                <w:lang w:val="zh-CN"/>
              </w:rPr>
              <w:t>文件密封送至</w:t>
            </w:r>
            <w:r>
              <w:rPr>
                <w:rFonts w:hint="eastAsia" w:ascii="宋体" w:hAnsi="宋体"/>
                <w:b w:val="0"/>
                <w:bCs w:val="0"/>
                <w:sz w:val="24"/>
                <w:highlight w:val="none"/>
                <w:lang w:val="en-US" w:eastAsia="zh-CN"/>
              </w:rPr>
              <w:t>比选公告指定地点</w:t>
            </w:r>
            <w:r>
              <w:rPr>
                <w:rFonts w:hint="eastAsia" w:ascii="宋体" w:hAnsi="宋体"/>
                <w:sz w:val="24"/>
                <w:highlight w:val="none"/>
              </w:rPr>
              <w:t>。在响应文件提交截止时间之后送达的响应文件，采购人应当予以拒收。</w:t>
            </w:r>
          </w:p>
          <w:p>
            <w:pPr>
              <w:pageBreakBefore w:val="0"/>
              <w:kinsoku/>
              <w:overflowPunct/>
              <w:topLinePunct w:val="0"/>
              <w:autoSpaceDE/>
              <w:autoSpaceDN/>
              <w:bidi w:val="0"/>
              <w:adjustRightInd/>
              <w:snapToGrid/>
              <w:spacing w:line="520" w:lineRule="exact"/>
              <w:textAlignment w:val="auto"/>
              <w:rPr>
                <w:rFonts w:ascii="宋体" w:hAnsi="宋体"/>
                <w:sz w:val="24"/>
                <w:highlight w:val="none"/>
              </w:rPr>
            </w:pPr>
            <w:r>
              <w:rPr>
                <w:rFonts w:hint="eastAsia" w:ascii="宋体" w:hAnsi="宋体"/>
                <w:sz w:val="24"/>
                <w:highlight w:val="none"/>
                <w:lang w:val="en-US" w:eastAsia="zh-CN"/>
              </w:rPr>
              <w:t>2、</w:t>
            </w:r>
            <w:r>
              <w:rPr>
                <w:rFonts w:hint="eastAsia" w:ascii="宋体" w:hAnsi="宋体"/>
                <w:sz w:val="24"/>
                <w:highlight w:val="none"/>
              </w:rPr>
              <w:t>响应文件的修改和撤回应按以下规定进行：</w:t>
            </w:r>
          </w:p>
          <w:p>
            <w:pPr>
              <w:pageBreakBefore w:val="0"/>
              <w:kinsoku/>
              <w:overflowPunct/>
              <w:topLinePunct w:val="0"/>
              <w:autoSpaceDE/>
              <w:autoSpaceDN/>
              <w:bidi w:val="0"/>
              <w:adjustRightInd/>
              <w:snapToGrid/>
              <w:spacing w:line="520" w:lineRule="exact"/>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w:t>
            </w:r>
            <w:r>
              <w:rPr>
                <w:rFonts w:hint="eastAsia" w:ascii="宋体" w:hAnsi="宋体"/>
                <w:sz w:val="24"/>
                <w:highlight w:val="none"/>
              </w:rPr>
              <w:t>供应商在递交响应文件后，可以补充、修改或撤回其响应，但这种修改和撤回，必须在规定的响应文件提交截止时间前，并以书面形式通知</w:t>
            </w:r>
            <w:r>
              <w:rPr>
                <w:rFonts w:hint="eastAsia" w:ascii="宋体" w:hAnsi="宋体"/>
                <w:sz w:val="24"/>
                <w:highlight w:val="none"/>
                <w:lang w:val="en-US" w:eastAsia="zh-CN"/>
              </w:rPr>
              <w:t>采购人</w:t>
            </w:r>
            <w:r>
              <w:rPr>
                <w:rFonts w:hint="eastAsia" w:ascii="宋体" w:hAnsi="宋体"/>
                <w:sz w:val="24"/>
                <w:highlight w:val="none"/>
              </w:rPr>
              <w:t>（加盖公章）。在响应文件提交截止时间后，供应商不得再要求修改或撤回其响应文件。</w:t>
            </w:r>
          </w:p>
          <w:p>
            <w:pPr>
              <w:pageBreakBefore w:val="0"/>
              <w:kinsoku/>
              <w:overflowPunct/>
              <w:topLinePunct w:val="0"/>
              <w:autoSpaceDE/>
              <w:autoSpaceDN/>
              <w:bidi w:val="0"/>
              <w:adjustRightInd/>
              <w:snapToGrid/>
              <w:spacing w:line="520" w:lineRule="exact"/>
              <w:textAlignment w:val="auto"/>
              <w:rPr>
                <w:rFonts w:hint="eastAsia"/>
                <w:highlight w:val="none"/>
                <w:lang w:eastAsia="zh-CN"/>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ascii="宋体" w:hAnsi="宋体"/>
                <w:sz w:val="24"/>
                <w:highlight w:val="none"/>
              </w:rPr>
              <w:t>在响应文件提交截止时间之后，供应商不得对其响应文件做任何修改。但属于</w:t>
            </w:r>
            <w:r>
              <w:rPr>
                <w:rFonts w:hint="eastAsia" w:ascii="宋体" w:hAnsi="宋体"/>
                <w:sz w:val="24"/>
                <w:highlight w:val="none"/>
                <w:lang w:eastAsia="zh-CN"/>
              </w:rPr>
              <w:t>比选小组</w:t>
            </w:r>
            <w:r>
              <w:rPr>
                <w:rFonts w:ascii="宋体" w:hAnsi="宋体"/>
                <w:sz w:val="24"/>
                <w:highlight w:val="none"/>
              </w:rPr>
              <w:t>在评审中发现的计算错误并进行核实的修改、按照</w:t>
            </w:r>
            <w:r>
              <w:rPr>
                <w:rFonts w:hint="eastAsia" w:ascii="宋体" w:hAnsi="宋体"/>
                <w:sz w:val="24"/>
                <w:highlight w:val="none"/>
                <w:lang w:eastAsia="zh-CN"/>
              </w:rPr>
              <w:t>比选</w:t>
            </w:r>
            <w:r>
              <w:rPr>
                <w:rFonts w:ascii="宋体" w:hAnsi="宋体"/>
                <w:sz w:val="24"/>
                <w:highlight w:val="none"/>
              </w:rPr>
              <w:t>文件的变动情况和</w:t>
            </w:r>
            <w:r>
              <w:rPr>
                <w:rFonts w:hint="eastAsia" w:ascii="宋体" w:hAnsi="宋体"/>
                <w:sz w:val="24"/>
                <w:highlight w:val="none"/>
                <w:lang w:eastAsia="zh-CN"/>
              </w:rPr>
              <w:t>比选小组</w:t>
            </w:r>
            <w:r>
              <w:rPr>
                <w:rFonts w:ascii="宋体" w:hAnsi="宋体"/>
                <w:sz w:val="24"/>
                <w:highlight w:val="none"/>
              </w:rPr>
              <w:t>的要求重新提交响应文件的，不在此列。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hint="default" w:ascii="宋体" w:hAnsi="宋体" w:eastAsia="宋体"/>
                <w:bCs/>
                <w:kern w:val="2"/>
                <w:highlight w:val="none"/>
                <w:lang w:val="en-US" w:eastAsia="zh-CN"/>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hint="default" w:ascii="宋体" w:hAnsi="宋体"/>
                <w:kern w:val="2"/>
                <w:highlight w:val="none"/>
                <w:lang w:val="en-US" w:eastAsia="zh-CN"/>
              </w:rPr>
            </w:pPr>
            <w:r>
              <w:rPr>
                <w:rFonts w:hint="eastAsia" w:ascii="宋体" w:hAnsi="宋体"/>
                <w:kern w:val="2"/>
                <w:highlight w:val="none"/>
                <w:lang w:eastAsia="zh-CN"/>
              </w:rPr>
              <w:t>比选小组</w:t>
            </w:r>
            <w:r>
              <w:rPr>
                <w:rFonts w:hint="eastAsia" w:ascii="宋体" w:hAnsi="宋体"/>
                <w:kern w:val="2"/>
                <w:highlight w:val="none"/>
                <w:lang w:val="en-US" w:eastAsia="zh-CN"/>
              </w:rPr>
              <w:t>组建</w:t>
            </w:r>
          </w:p>
        </w:tc>
        <w:tc>
          <w:tcPr>
            <w:tcW w:w="3566" w:type="pct"/>
            <w:vAlign w:val="center"/>
          </w:tcPr>
          <w:p>
            <w:pPr>
              <w:widowControl/>
              <w:spacing w:line="500" w:lineRule="exact"/>
              <w:rPr>
                <w:rFonts w:hint="eastAsia" w:ascii="宋体" w:hAnsi="宋体"/>
                <w:sz w:val="24"/>
                <w:highlight w:val="none"/>
              </w:rPr>
            </w:pPr>
            <w:r>
              <w:rPr>
                <w:rFonts w:hint="eastAsia" w:ascii="宋体" w:hAnsi="宋体"/>
                <w:sz w:val="24"/>
                <w:highlight w:val="none"/>
                <w:lang w:eastAsia="zh-CN"/>
              </w:rPr>
              <w:t>比选小组</w:t>
            </w:r>
            <w:r>
              <w:rPr>
                <w:rFonts w:ascii="宋体" w:hAnsi="宋体"/>
                <w:sz w:val="24"/>
                <w:highlight w:val="none"/>
              </w:rPr>
              <w:t>成员由</w:t>
            </w:r>
            <w:r>
              <w:rPr>
                <w:rFonts w:ascii="宋体" w:hAnsi="宋体"/>
                <w:sz w:val="24"/>
                <w:highlight w:val="none"/>
                <w:u w:val="single"/>
              </w:rPr>
              <w:t xml:space="preserve"> </w:t>
            </w:r>
            <w:r>
              <w:rPr>
                <w:rFonts w:hint="eastAsia" w:ascii="宋体" w:hAnsi="宋体"/>
                <w:sz w:val="24"/>
                <w:highlight w:val="none"/>
                <w:u w:val="single"/>
                <w:lang w:val="en-US" w:eastAsia="zh-CN"/>
              </w:rPr>
              <w:t>5</w:t>
            </w:r>
            <w:r>
              <w:rPr>
                <w:rFonts w:ascii="宋体" w:hAnsi="宋体"/>
                <w:sz w:val="24"/>
                <w:highlight w:val="none"/>
                <w:u w:val="single"/>
              </w:rPr>
              <w:t xml:space="preserve"> </w:t>
            </w:r>
            <w:r>
              <w:rPr>
                <w:rFonts w:ascii="宋体" w:hAnsi="宋体"/>
                <w:sz w:val="24"/>
                <w:highlight w:val="none"/>
              </w:rPr>
              <w:t>人</w:t>
            </w:r>
            <w:r>
              <w:rPr>
                <w:rFonts w:hint="eastAsia" w:ascii="宋体" w:hAnsi="宋体"/>
                <w:sz w:val="24"/>
                <w:highlight w:val="none"/>
                <w:lang w:eastAsia="zh-CN"/>
              </w:rPr>
              <w:t>及</w:t>
            </w:r>
            <w:r>
              <w:rPr>
                <w:rFonts w:ascii="宋体" w:hAnsi="宋体"/>
                <w:sz w:val="24"/>
                <w:highlight w:val="none"/>
              </w:rPr>
              <w:t>以上单数组成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评审方法</w:t>
            </w:r>
          </w:p>
        </w:tc>
        <w:tc>
          <w:tcPr>
            <w:tcW w:w="3566" w:type="pct"/>
            <w:vAlign w:val="center"/>
          </w:tcPr>
          <w:p>
            <w:pPr>
              <w:widowControl/>
              <w:spacing w:line="500" w:lineRule="exact"/>
              <w:rPr>
                <w:rFonts w:ascii="宋体" w:hAnsi="宋体"/>
                <w:sz w:val="24"/>
                <w:highlight w:val="none"/>
              </w:rPr>
            </w:pPr>
            <w:r>
              <w:rPr>
                <w:rFonts w:hint="eastAsia" w:ascii="宋体" w:hAnsi="宋体"/>
                <w:sz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Merge w:val="restart"/>
            <w:vAlign w:val="center"/>
          </w:tcPr>
          <w:p>
            <w:pPr>
              <w:pStyle w:val="129"/>
              <w:numPr>
                <w:ilvl w:val="0"/>
                <w:numId w:val="1"/>
              </w:numPr>
              <w:pBdr>
                <w:bottom w:val="none" w:color="auto" w:sz="0" w:space="0"/>
              </w:pBdr>
              <w:tabs>
                <w:tab w:val="clear" w:pos="4153"/>
                <w:tab w:val="clear" w:pos="8306"/>
              </w:tabs>
              <w:adjustRightInd/>
              <w:spacing w:line="240" w:lineRule="auto"/>
              <w:ind w:left="425" w:leftChars="0" w:hanging="425" w:firstLineChars="0"/>
              <w:textAlignment w:val="auto"/>
              <w:rPr>
                <w:rFonts w:ascii="宋体" w:hAnsi="宋体"/>
                <w:bCs/>
                <w:kern w:val="2"/>
                <w:highlight w:val="none"/>
              </w:rPr>
            </w:pPr>
          </w:p>
        </w:tc>
        <w:tc>
          <w:tcPr>
            <w:tcW w:w="962" w:type="pct"/>
            <w:vMerge w:val="restart"/>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确定成交候选供应商和成交供应商</w:t>
            </w:r>
          </w:p>
        </w:tc>
        <w:tc>
          <w:tcPr>
            <w:tcW w:w="3566" w:type="pct"/>
            <w:vAlign w:val="center"/>
          </w:tcPr>
          <w:p>
            <w:pPr>
              <w:widowControl/>
              <w:spacing w:line="500" w:lineRule="exact"/>
              <w:rPr>
                <w:rFonts w:ascii="宋体" w:hAnsi="宋体"/>
                <w:sz w:val="24"/>
                <w:highlight w:val="none"/>
              </w:rPr>
            </w:pPr>
            <w:r>
              <w:rPr>
                <w:rFonts w:hint="eastAsia" w:ascii="宋体" w:hAnsi="宋体"/>
                <w:sz w:val="24"/>
                <w:highlight w:val="none"/>
                <w:lang w:eastAsia="zh-CN"/>
              </w:rPr>
              <w:t>比选小组</w:t>
            </w:r>
            <w:r>
              <w:rPr>
                <w:rFonts w:hint="eastAsia" w:ascii="宋体" w:hAnsi="宋体"/>
                <w:sz w:val="24"/>
                <w:highlight w:val="none"/>
              </w:rPr>
              <w:t>推荐成交候选供应商的数量：</w:t>
            </w:r>
            <w:r>
              <w:rPr>
                <w:rFonts w:hint="eastAsia" w:ascii="宋体" w:hAnsi="宋体"/>
                <w:sz w:val="24"/>
                <w:highlight w:val="none"/>
                <w:u w:val="single"/>
              </w:rPr>
              <w:t xml:space="preserve"> </w:t>
            </w:r>
            <w:r>
              <w:rPr>
                <w:rFonts w:hint="eastAsia" w:ascii="宋体" w:hAnsi="宋体"/>
                <w:sz w:val="24"/>
                <w:highlight w:val="none"/>
                <w:u w:val="single"/>
                <w:lang w:val="en-US" w:eastAsia="zh-CN"/>
              </w:rPr>
              <w:t>2</w:t>
            </w:r>
            <w:r>
              <w:rPr>
                <w:rFonts w:hint="eastAsia" w:ascii="宋体" w:hAnsi="宋体"/>
                <w:sz w:val="24"/>
                <w:highlight w:val="none"/>
                <w:u w:val="single"/>
              </w:rPr>
              <w:t xml:space="preserve"> </w:t>
            </w:r>
            <w:r>
              <w:rPr>
                <w:rFonts w:hint="eastAsia" w:ascii="宋体" w:hAnsi="宋体"/>
                <w:sz w:val="24"/>
                <w:highlight w:val="none"/>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vMerge w:val="continue"/>
            <w:vAlign w:val="center"/>
          </w:tcPr>
          <w:p>
            <w:pPr>
              <w:pStyle w:val="129"/>
              <w:pBdr>
                <w:bottom w:val="none" w:color="auto" w:sz="0" w:space="0"/>
              </w:pBdr>
              <w:tabs>
                <w:tab w:val="clear" w:pos="4153"/>
                <w:tab w:val="clear" w:pos="8306"/>
              </w:tabs>
              <w:adjustRightInd/>
              <w:spacing w:line="240" w:lineRule="auto"/>
              <w:ind w:firstLineChars="0"/>
              <w:textAlignment w:val="auto"/>
              <w:rPr>
                <w:rFonts w:ascii="宋体" w:hAnsi="宋体"/>
                <w:bCs/>
                <w:kern w:val="2"/>
                <w:highlight w:val="none"/>
              </w:rPr>
            </w:pPr>
          </w:p>
        </w:tc>
        <w:tc>
          <w:tcPr>
            <w:tcW w:w="962" w:type="pct"/>
            <w:vMerge w:val="continue"/>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p>
        </w:tc>
        <w:tc>
          <w:tcPr>
            <w:tcW w:w="3566" w:type="pct"/>
            <w:vAlign w:val="center"/>
          </w:tcPr>
          <w:p>
            <w:pPr>
              <w:widowControl/>
              <w:spacing w:line="500" w:lineRule="exact"/>
              <w:rPr>
                <w:rFonts w:ascii="宋体" w:hAnsi="宋体"/>
                <w:sz w:val="24"/>
                <w:highlight w:val="none"/>
              </w:rPr>
            </w:pPr>
            <w:r>
              <w:rPr>
                <w:rFonts w:hint="eastAsia" w:ascii="宋体" w:hAnsi="宋体"/>
                <w:sz w:val="24"/>
                <w:highlight w:val="none"/>
              </w:rPr>
              <w:t xml:space="preserve">确定成交供应商： </w:t>
            </w:r>
            <w:r>
              <w:rPr>
                <w:rFonts w:hint="eastAsia" w:ascii="宋体" w:hAnsi="宋体"/>
                <w:sz w:val="24"/>
                <w:highlight w:val="none"/>
                <w:lang w:val="en-US" w:eastAsia="zh-CN"/>
              </w:rPr>
              <w:t>比选小组</w:t>
            </w:r>
            <w:r>
              <w:rPr>
                <w:rFonts w:hint="eastAsia" w:ascii="宋体" w:hAnsi="宋体"/>
                <w:sz w:val="24"/>
                <w:highlight w:val="none"/>
              </w:rPr>
              <w:t>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tcBorders>
              <w:top w:val="single" w:color="auto" w:sz="4" w:space="0"/>
              <w:left w:val="single" w:color="auto" w:sz="4" w:space="0"/>
              <w:bottom w:val="single" w:color="auto" w:sz="4" w:space="0"/>
              <w:right w:val="single" w:color="auto" w:sz="4" w:space="0"/>
            </w:tcBorders>
            <w:vAlign w:val="center"/>
          </w:tcPr>
          <w:p>
            <w:pPr>
              <w:pStyle w:val="129"/>
              <w:numPr>
                <w:ilvl w:val="0"/>
                <w:numId w:val="0"/>
              </w:numPr>
              <w:pBdr>
                <w:bottom w:val="none" w:color="auto" w:sz="0" w:space="0"/>
              </w:pBdr>
              <w:adjustRightInd/>
              <w:spacing w:line="240" w:lineRule="auto"/>
              <w:ind w:leftChars="0"/>
              <w:jc w:val="center"/>
              <w:textAlignment w:val="auto"/>
              <w:rPr>
                <w:rFonts w:hint="default" w:ascii="宋体" w:hAnsi="宋体" w:eastAsia="宋体"/>
                <w:bCs/>
                <w:kern w:val="2"/>
                <w:highlight w:val="none"/>
                <w:lang w:val="en-US" w:eastAsia="zh-CN"/>
              </w:rPr>
            </w:pPr>
            <w:r>
              <w:rPr>
                <w:rFonts w:hint="eastAsia" w:ascii="宋体" w:hAnsi="宋体"/>
                <w:bCs/>
                <w:kern w:val="2"/>
                <w:highlight w:val="none"/>
                <w:lang w:val="en-US" w:eastAsia="zh-CN"/>
              </w:rPr>
              <w:t>12</w:t>
            </w:r>
          </w:p>
        </w:tc>
        <w:tc>
          <w:tcPr>
            <w:tcW w:w="962" w:type="pct"/>
            <w:tcBorders>
              <w:top w:val="single" w:color="auto" w:sz="4" w:space="0"/>
              <w:left w:val="single" w:color="auto" w:sz="4" w:space="0"/>
              <w:bottom w:val="single" w:color="auto" w:sz="4" w:space="0"/>
              <w:right w:val="single" w:color="auto" w:sz="4" w:space="0"/>
            </w:tcBorders>
            <w:vAlign w:val="center"/>
          </w:tcPr>
          <w:p>
            <w:pPr>
              <w:pStyle w:val="129"/>
              <w:pBdr>
                <w:bottom w:val="none" w:color="auto" w:sz="0" w:space="0"/>
              </w:pBdr>
              <w:tabs>
                <w:tab w:val="clear" w:pos="4153"/>
                <w:tab w:val="clear" w:pos="8306"/>
              </w:tabs>
              <w:adjustRightInd/>
              <w:spacing w:line="500" w:lineRule="exact"/>
              <w:jc w:val="center"/>
              <w:textAlignment w:val="auto"/>
              <w:rPr>
                <w:rFonts w:hint="eastAsia" w:ascii="宋体" w:hAnsi="宋体" w:eastAsia="宋体"/>
                <w:kern w:val="2"/>
                <w:highlight w:val="none"/>
                <w:lang w:val="en-US" w:eastAsia="zh-CN"/>
              </w:rPr>
            </w:pPr>
            <w:r>
              <w:rPr>
                <w:rFonts w:hint="eastAsia" w:ascii="宋体" w:hAnsi="宋体"/>
                <w:kern w:val="2"/>
                <w:highlight w:val="none"/>
              </w:rPr>
              <w:t>质疑</w:t>
            </w:r>
            <w:r>
              <w:rPr>
                <w:rFonts w:hint="eastAsia" w:ascii="宋体" w:hAnsi="宋体"/>
                <w:kern w:val="2"/>
                <w:highlight w:val="none"/>
                <w:lang w:val="en-US" w:eastAsia="zh-CN"/>
              </w:rPr>
              <w:t>的提出</w:t>
            </w:r>
          </w:p>
        </w:tc>
        <w:tc>
          <w:tcPr>
            <w:tcW w:w="3566" w:type="pct"/>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adjustRightInd/>
              <w:snapToGrid/>
              <w:spacing w:line="520" w:lineRule="exact"/>
              <w:textAlignment w:val="auto"/>
              <w:rPr>
                <w:rFonts w:hint="eastAsia" w:eastAsia="宋体"/>
                <w:highlight w:val="none"/>
                <w:lang w:val="en-US" w:eastAsia="zh-CN"/>
              </w:rPr>
            </w:pPr>
            <w:r>
              <w:rPr>
                <w:rFonts w:ascii="宋体" w:hAnsi="宋体"/>
                <w:sz w:val="24"/>
                <w:highlight w:val="none"/>
              </w:rPr>
              <w:t>供应商认为</w:t>
            </w:r>
            <w:r>
              <w:rPr>
                <w:rFonts w:hint="eastAsia" w:ascii="宋体" w:hAnsi="宋体"/>
                <w:sz w:val="24"/>
                <w:highlight w:val="none"/>
                <w:lang w:eastAsia="zh-CN"/>
              </w:rPr>
              <w:t>比选</w:t>
            </w:r>
            <w:r>
              <w:rPr>
                <w:rFonts w:ascii="宋体" w:hAnsi="宋体"/>
                <w:sz w:val="24"/>
                <w:highlight w:val="none"/>
              </w:rPr>
              <w:t>文件、采购过程、成交结果使自己的权益受到损害的，可以依法</w:t>
            </w:r>
            <w:r>
              <w:rPr>
                <w:rFonts w:hint="eastAsia" w:ascii="宋体" w:hAnsi="宋体"/>
                <w:sz w:val="24"/>
                <w:highlight w:val="none"/>
              </w:rPr>
              <w:t>在知道或者应知其权益受到损害之日起7个工作日内，</w:t>
            </w:r>
            <w:r>
              <w:rPr>
                <w:rFonts w:ascii="宋体" w:hAnsi="宋体"/>
                <w:sz w:val="24"/>
                <w:highlight w:val="none"/>
              </w:rPr>
              <w:t>向采购人提出质疑。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tcBorders>
              <w:top w:val="single" w:color="auto" w:sz="4" w:space="0"/>
              <w:left w:val="single" w:color="auto" w:sz="4" w:space="0"/>
              <w:bottom w:val="single" w:color="auto" w:sz="4" w:space="0"/>
              <w:right w:val="single" w:color="auto" w:sz="4" w:space="0"/>
            </w:tcBorders>
            <w:vAlign w:val="center"/>
          </w:tcPr>
          <w:p>
            <w:pPr>
              <w:pStyle w:val="129"/>
              <w:numPr>
                <w:ilvl w:val="0"/>
                <w:numId w:val="0"/>
              </w:numPr>
              <w:pBdr>
                <w:bottom w:val="none" w:color="auto" w:sz="0" w:space="0"/>
              </w:pBdr>
              <w:adjustRightInd/>
              <w:spacing w:line="240" w:lineRule="auto"/>
              <w:ind w:leftChars="0"/>
              <w:jc w:val="center"/>
              <w:textAlignment w:val="auto"/>
              <w:rPr>
                <w:rFonts w:hint="default" w:ascii="宋体" w:hAnsi="宋体" w:eastAsia="宋体"/>
                <w:bCs/>
                <w:kern w:val="2"/>
                <w:highlight w:val="none"/>
                <w:lang w:val="en-US" w:eastAsia="zh-CN"/>
              </w:rPr>
            </w:pPr>
            <w:r>
              <w:rPr>
                <w:rFonts w:hint="eastAsia" w:ascii="宋体" w:hAnsi="宋体"/>
                <w:bCs/>
                <w:kern w:val="2"/>
                <w:highlight w:val="none"/>
                <w:lang w:val="en-US" w:eastAsia="zh-CN"/>
              </w:rPr>
              <w:t>13</w:t>
            </w:r>
          </w:p>
        </w:tc>
        <w:tc>
          <w:tcPr>
            <w:tcW w:w="962" w:type="pct"/>
            <w:tcBorders>
              <w:top w:val="single" w:color="auto" w:sz="4" w:space="0"/>
              <w:left w:val="single" w:color="auto" w:sz="4" w:space="0"/>
              <w:bottom w:val="single" w:color="auto" w:sz="4" w:space="0"/>
              <w:right w:val="single" w:color="auto" w:sz="4" w:space="0"/>
            </w:tcBorders>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社保证明材料</w:t>
            </w:r>
          </w:p>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（如有</w:t>
            </w:r>
            <w:r>
              <w:rPr>
                <w:rFonts w:ascii="宋体" w:hAnsi="宋体"/>
                <w:kern w:val="2"/>
                <w:highlight w:val="none"/>
              </w:rPr>
              <w:t>）</w:t>
            </w:r>
          </w:p>
        </w:tc>
        <w:tc>
          <w:tcPr>
            <w:tcW w:w="3566" w:type="pct"/>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宋体" w:hAnsi="宋体"/>
                <w:sz w:val="24"/>
                <w:highlight w:val="none"/>
              </w:rPr>
            </w:pPr>
            <w:r>
              <w:rPr>
                <w:rFonts w:ascii="宋体" w:hAnsi="宋体"/>
                <w:sz w:val="24"/>
                <w:highlight w:val="none"/>
              </w:rPr>
              <w:t>本项目</w:t>
            </w:r>
            <w:r>
              <w:rPr>
                <w:rFonts w:hint="eastAsia" w:ascii="宋体" w:hAnsi="宋体"/>
                <w:sz w:val="24"/>
                <w:highlight w:val="none"/>
                <w:lang w:eastAsia="zh-CN"/>
              </w:rPr>
              <w:t>比选</w:t>
            </w:r>
            <w:r>
              <w:rPr>
                <w:rFonts w:ascii="宋体" w:hAnsi="宋体"/>
                <w:sz w:val="24"/>
                <w:highlight w:val="none"/>
              </w:rPr>
              <w:t>文件中要求提供的社保证明材料为下述形式之一（响应文件中须提供</w:t>
            </w:r>
            <w:r>
              <w:rPr>
                <w:rFonts w:hint="eastAsia" w:ascii="宋体" w:hAnsi="宋体"/>
                <w:sz w:val="24"/>
                <w:highlight w:val="none"/>
              </w:rPr>
              <w:t>复印</w:t>
            </w:r>
            <w:r>
              <w:rPr>
                <w:rFonts w:ascii="宋体" w:hAnsi="宋体"/>
                <w:sz w:val="24"/>
                <w:highlight w:val="none"/>
              </w:rPr>
              <w:t>件</w:t>
            </w:r>
            <w:r>
              <w:rPr>
                <w:rFonts w:hint="eastAsia" w:ascii="宋体" w:hAnsi="宋体"/>
                <w:sz w:val="24"/>
                <w:highlight w:val="none"/>
              </w:rPr>
              <w:t>并加盖公章</w:t>
            </w:r>
            <w:r>
              <w:rPr>
                <w:rFonts w:ascii="宋体" w:hAnsi="宋体"/>
                <w:sz w:val="24"/>
                <w:highlight w:val="none"/>
              </w:rPr>
              <w:t>）：</w:t>
            </w:r>
          </w:p>
          <w:p>
            <w:pPr>
              <w:widowControl/>
              <w:spacing w:line="500" w:lineRule="exact"/>
              <w:rPr>
                <w:rFonts w:ascii="宋体" w:hAnsi="宋体"/>
                <w:sz w:val="24"/>
                <w:highlight w:val="none"/>
              </w:rPr>
            </w:pPr>
            <w:r>
              <w:rPr>
                <w:rFonts w:ascii="宋体" w:hAnsi="宋体"/>
                <w:sz w:val="24"/>
                <w:highlight w:val="none"/>
              </w:rPr>
              <w:t>（1）社保局官方网站查询的缴费记录截图；</w:t>
            </w:r>
          </w:p>
          <w:p>
            <w:pPr>
              <w:widowControl/>
              <w:spacing w:line="500" w:lineRule="exact"/>
              <w:rPr>
                <w:rFonts w:ascii="宋体" w:hAnsi="宋体"/>
                <w:sz w:val="24"/>
                <w:highlight w:val="none"/>
              </w:rPr>
            </w:pPr>
            <w:r>
              <w:rPr>
                <w:rFonts w:ascii="宋体" w:hAnsi="宋体"/>
                <w:sz w:val="24"/>
                <w:highlight w:val="none"/>
              </w:rPr>
              <w:t>（2）社保局的书面证明材料；</w:t>
            </w:r>
          </w:p>
          <w:p>
            <w:pPr>
              <w:widowControl/>
              <w:spacing w:line="500" w:lineRule="exact"/>
              <w:rPr>
                <w:rFonts w:ascii="宋体" w:hAnsi="宋体"/>
                <w:sz w:val="24"/>
                <w:highlight w:val="none"/>
              </w:rPr>
            </w:pPr>
            <w:r>
              <w:rPr>
                <w:rFonts w:ascii="宋体" w:hAnsi="宋体"/>
                <w:sz w:val="24"/>
                <w:highlight w:val="none"/>
              </w:rPr>
              <w:t>（3）经供应商委托的第三方人力资源服务机构或与供应商有直接隶属关系的机构可以代缴社保，但须提供有关证明材料并经</w:t>
            </w:r>
            <w:r>
              <w:rPr>
                <w:rFonts w:hint="eastAsia" w:ascii="宋体" w:hAnsi="宋体"/>
                <w:sz w:val="24"/>
                <w:highlight w:val="none"/>
                <w:lang w:eastAsia="zh-CN"/>
              </w:rPr>
              <w:t>比选小组</w:t>
            </w:r>
            <w:r>
              <w:rPr>
                <w:rFonts w:ascii="宋体" w:hAnsi="宋体"/>
                <w:sz w:val="24"/>
                <w:highlight w:val="none"/>
              </w:rPr>
              <w:t>确认。</w:t>
            </w:r>
          </w:p>
          <w:p>
            <w:pPr>
              <w:widowControl/>
              <w:spacing w:line="500" w:lineRule="exact"/>
              <w:rPr>
                <w:rFonts w:ascii="宋体" w:hAnsi="宋体"/>
                <w:sz w:val="24"/>
                <w:highlight w:val="none"/>
              </w:rPr>
            </w:pPr>
            <w:r>
              <w:rPr>
                <w:rFonts w:ascii="宋体" w:hAnsi="宋体"/>
                <w:sz w:val="24"/>
                <w:highlight w:val="none"/>
              </w:rPr>
              <w:t>（4）参与</w:t>
            </w:r>
            <w:r>
              <w:rPr>
                <w:rFonts w:hint="eastAsia" w:ascii="宋体" w:hAnsi="宋体"/>
                <w:sz w:val="24"/>
                <w:highlight w:val="none"/>
                <w:lang w:eastAsia="zh-CN"/>
              </w:rPr>
              <w:t>比选</w:t>
            </w:r>
            <w:r>
              <w:rPr>
                <w:rFonts w:ascii="宋体" w:hAnsi="宋体"/>
                <w:sz w:val="24"/>
                <w:highlight w:val="none"/>
              </w:rPr>
              <w:t>的院校，社保证明可以用以下任意一种：</w:t>
            </w:r>
          </w:p>
          <w:p>
            <w:pPr>
              <w:widowControl/>
              <w:spacing w:line="500" w:lineRule="exact"/>
              <w:rPr>
                <w:rFonts w:ascii="宋体" w:hAnsi="宋体"/>
                <w:sz w:val="24"/>
                <w:highlight w:val="none"/>
              </w:rPr>
            </w:pPr>
            <w:r>
              <w:rPr>
                <w:rFonts w:ascii="宋体" w:hAnsi="宋体"/>
                <w:sz w:val="24"/>
                <w:highlight w:val="none"/>
              </w:rPr>
              <w:t>①加盖供应商公章的教师证（须为本单位人员）；</w:t>
            </w:r>
          </w:p>
          <w:p>
            <w:pPr>
              <w:widowControl/>
              <w:spacing w:line="500" w:lineRule="exact"/>
              <w:rPr>
                <w:rFonts w:ascii="宋体" w:hAnsi="宋体"/>
                <w:sz w:val="24"/>
                <w:highlight w:val="none"/>
              </w:rPr>
            </w:pPr>
            <w:r>
              <w:rPr>
                <w:rFonts w:ascii="宋体" w:hAnsi="宋体"/>
                <w:sz w:val="24"/>
                <w:highlight w:val="none"/>
              </w:rPr>
              <w:t>②医保证明材料。</w:t>
            </w:r>
          </w:p>
          <w:p>
            <w:pPr>
              <w:widowControl/>
              <w:spacing w:line="500" w:lineRule="exact"/>
              <w:rPr>
                <w:rFonts w:ascii="宋体" w:hAnsi="宋体"/>
                <w:sz w:val="24"/>
                <w:highlight w:val="none"/>
              </w:rPr>
            </w:pPr>
            <w:r>
              <w:rPr>
                <w:rFonts w:ascii="宋体" w:hAnsi="宋体"/>
                <w:sz w:val="24"/>
                <w:highlight w:val="none"/>
              </w:rPr>
              <w:t>（5）其他经</w:t>
            </w:r>
            <w:r>
              <w:rPr>
                <w:rFonts w:hint="eastAsia" w:ascii="宋体" w:hAnsi="宋体"/>
                <w:sz w:val="24"/>
                <w:highlight w:val="none"/>
                <w:lang w:eastAsia="zh-CN"/>
              </w:rPr>
              <w:t>比选小组</w:t>
            </w:r>
            <w:r>
              <w:rPr>
                <w:rFonts w:ascii="宋体" w:hAnsi="宋体"/>
                <w:sz w:val="24"/>
                <w:highlight w:val="none"/>
              </w:rPr>
              <w:t>认可的证明材料。</w:t>
            </w:r>
          </w:p>
          <w:p>
            <w:pPr>
              <w:widowControl/>
              <w:spacing w:line="500" w:lineRule="exact"/>
              <w:rPr>
                <w:rFonts w:ascii="宋体" w:hAnsi="宋体"/>
                <w:sz w:val="24"/>
                <w:highlight w:val="none"/>
              </w:rPr>
            </w:pPr>
            <w:r>
              <w:rPr>
                <w:rFonts w:ascii="宋体" w:hAnsi="宋体"/>
                <w:sz w:val="24"/>
                <w:highlight w:val="none"/>
              </w:rPr>
              <w:t>（6）法定代表人参与项目的，无需提供社保证明</w:t>
            </w:r>
            <w:r>
              <w:rPr>
                <w:rFonts w:hint="eastAsia" w:ascii="宋体" w:hAnsi="宋体"/>
                <w:sz w:val="24"/>
                <w:highlight w:val="none"/>
              </w:rPr>
              <w:t>材料，提供身份证明材料即可。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471" w:type="pct"/>
            <w:tcBorders>
              <w:top w:val="single" w:color="auto" w:sz="4" w:space="0"/>
              <w:left w:val="single" w:color="auto" w:sz="4" w:space="0"/>
              <w:bottom w:val="single" w:color="auto" w:sz="4" w:space="0"/>
              <w:right w:val="single" w:color="auto" w:sz="4" w:space="0"/>
            </w:tcBorders>
            <w:vAlign w:val="center"/>
          </w:tcPr>
          <w:p>
            <w:pPr>
              <w:pStyle w:val="129"/>
              <w:numPr>
                <w:ilvl w:val="0"/>
                <w:numId w:val="0"/>
              </w:numPr>
              <w:pBdr>
                <w:bottom w:val="none" w:color="auto" w:sz="0" w:space="0"/>
              </w:pBdr>
              <w:adjustRightInd/>
              <w:spacing w:line="240" w:lineRule="auto"/>
              <w:ind w:leftChars="0"/>
              <w:jc w:val="center"/>
              <w:textAlignment w:val="auto"/>
              <w:rPr>
                <w:rFonts w:hint="default" w:ascii="宋体" w:hAnsi="宋体" w:eastAsia="宋体"/>
                <w:bCs/>
                <w:kern w:val="2"/>
                <w:highlight w:val="none"/>
                <w:lang w:val="en-US" w:eastAsia="zh-CN"/>
              </w:rPr>
            </w:pPr>
            <w:r>
              <w:rPr>
                <w:rFonts w:hint="eastAsia" w:ascii="宋体" w:hAnsi="宋体"/>
                <w:bCs/>
                <w:kern w:val="2"/>
                <w:highlight w:val="none"/>
                <w:lang w:val="en-US" w:eastAsia="zh-CN"/>
              </w:rPr>
              <w:t>14</w:t>
            </w:r>
          </w:p>
        </w:tc>
        <w:tc>
          <w:tcPr>
            <w:tcW w:w="962" w:type="pct"/>
            <w:tcBorders>
              <w:top w:val="single" w:color="auto" w:sz="4" w:space="0"/>
              <w:left w:val="single" w:color="auto" w:sz="4" w:space="0"/>
              <w:bottom w:val="single" w:color="auto" w:sz="4" w:space="0"/>
              <w:right w:val="single" w:color="auto" w:sz="4" w:space="0"/>
            </w:tcBorders>
            <w:vAlign w:val="center"/>
          </w:tcPr>
          <w:p>
            <w:pPr>
              <w:pStyle w:val="129"/>
              <w:pBdr>
                <w:bottom w:val="none" w:color="auto" w:sz="0" w:space="0"/>
              </w:pBdr>
              <w:tabs>
                <w:tab w:val="clear" w:pos="4153"/>
                <w:tab w:val="clear" w:pos="8306"/>
              </w:tabs>
              <w:adjustRightInd/>
              <w:spacing w:line="500" w:lineRule="exact"/>
              <w:jc w:val="center"/>
              <w:textAlignment w:val="auto"/>
              <w:rPr>
                <w:rFonts w:ascii="宋体" w:hAnsi="宋体"/>
                <w:kern w:val="2"/>
                <w:highlight w:val="none"/>
              </w:rPr>
            </w:pPr>
            <w:r>
              <w:rPr>
                <w:rFonts w:hint="eastAsia" w:ascii="宋体" w:hAnsi="宋体"/>
                <w:kern w:val="2"/>
                <w:highlight w:val="none"/>
              </w:rPr>
              <w:t>解释权</w:t>
            </w:r>
          </w:p>
        </w:tc>
        <w:tc>
          <w:tcPr>
            <w:tcW w:w="3566" w:type="pct"/>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宋体" w:hAnsi="宋体"/>
                <w:sz w:val="24"/>
                <w:highlight w:val="none"/>
              </w:rPr>
            </w:pPr>
            <w:r>
              <w:rPr>
                <w:rFonts w:ascii="宋体" w:hAnsi="宋体"/>
                <w:sz w:val="24"/>
                <w:highlight w:val="none"/>
              </w:rPr>
              <w:t>（1）构成本</w:t>
            </w:r>
            <w:r>
              <w:rPr>
                <w:rFonts w:hint="eastAsia" w:ascii="宋体" w:hAnsi="宋体"/>
                <w:sz w:val="24"/>
                <w:highlight w:val="none"/>
                <w:lang w:eastAsia="zh-CN"/>
              </w:rPr>
              <w:t>比选</w:t>
            </w:r>
            <w:r>
              <w:rPr>
                <w:rFonts w:ascii="宋体" w:hAnsi="宋体"/>
                <w:sz w:val="24"/>
                <w:highlight w:val="none"/>
              </w:rPr>
              <w:t>文件的各个组成文件应互为解释，互为说明；</w:t>
            </w:r>
          </w:p>
          <w:p>
            <w:pPr>
              <w:widowControl/>
              <w:spacing w:line="500" w:lineRule="exact"/>
              <w:rPr>
                <w:rFonts w:ascii="宋体" w:hAnsi="宋体"/>
                <w:sz w:val="24"/>
                <w:highlight w:val="none"/>
              </w:rPr>
            </w:pPr>
            <w:r>
              <w:rPr>
                <w:rFonts w:ascii="宋体" w:hAnsi="宋体"/>
                <w:sz w:val="24"/>
                <w:highlight w:val="none"/>
              </w:rPr>
              <w:t>（2）同一组成文件中就同一事项的规定或约定不一致的，以编排顺序在后者为准；</w:t>
            </w:r>
          </w:p>
          <w:p>
            <w:pPr>
              <w:widowControl/>
              <w:spacing w:line="500" w:lineRule="exact"/>
              <w:rPr>
                <w:rFonts w:ascii="宋体" w:hAnsi="宋体"/>
                <w:sz w:val="24"/>
                <w:highlight w:val="none"/>
              </w:rPr>
            </w:pPr>
            <w:r>
              <w:rPr>
                <w:rFonts w:ascii="宋体" w:hAnsi="宋体"/>
                <w:sz w:val="24"/>
                <w:highlight w:val="none"/>
              </w:rPr>
              <w:t>（3）如有不明确或不一致，构成合同文件组成内容的，以合同文件约定内容为准，且以专用合同条款约定的合同文件优先顺序解释；</w:t>
            </w:r>
          </w:p>
          <w:p>
            <w:pPr>
              <w:widowControl/>
              <w:spacing w:line="500" w:lineRule="exact"/>
              <w:rPr>
                <w:rFonts w:ascii="宋体" w:hAnsi="宋体"/>
                <w:sz w:val="24"/>
                <w:highlight w:val="none"/>
              </w:rPr>
            </w:pPr>
            <w:r>
              <w:rPr>
                <w:rFonts w:ascii="宋体" w:hAnsi="宋体"/>
                <w:sz w:val="24"/>
                <w:highlight w:val="none"/>
              </w:rPr>
              <w:t>（4）除</w:t>
            </w:r>
            <w:r>
              <w:rPr>
                <w:rFonts w:hint="eastAsia" w:ascii="宋体" w:hAnsi="宋体"/>
                <w:sz w:val="24"/>
                <w:highlight w:val="none"/>
                <w:lang w:eastAsia="zh-CN"/>
              </w:rPr>
              <w:t>比选</w:t>
            </w:r>
            <w:r>
              <w:rPr>
                <w:rFonts w:ascii="宋体" w:hAnsi="宋体"/>
                <w:sz w:val="24"/>
                <w:highlight w:val="none"/>
              </w:rPr>
              <w:t>文件中有特别规定外，仅适用于</w:t>
            </w:r>
            <w:r>
              <w:rPr>
                <w:rFonts w:hint="eastAsia" w:ascii="宋体" w:hAnsi="宋体"/>
                <w:sz w:val="24"/>
                <w:highlight w:val="none"/>
                <w:lang w:eastAsia="zh-CN"/>
              </w:rPr>
              <w:t>比选</w:t>
            </w:r>
            <w:r>
              <w:rPr>
                <w:rFonts w:ascii="宋体" w:hAnsi="宋体"/>
                <w:sz w:val="24"/>
                <w:highlight w:val="none"/>
              </w:rPr>
              <w:t>及响应文件提交阶段的规定，按</w:t>
            </w:r>
            <w:r>
              <w:rPr>
                <w:rFonts w:hint="eastAsia" w:ascii="宋体" w:hAnsi="宋体"/>
                <w:sz w:val="24"/>
                <w:highlight w:val="none"/>
                <w:lang w:eastAsia="zh-CN"/>
              </w:rPr>
              <w:t>比选</w:t>
            </w:r>
            <w:r>
              <w:rPr>
                <w:rFonts w:ascii="宋体" w:hAnsi="宋体"/>
                <w:sz w:val="24"/>
                <w:highlight w:val="none"/>
              </w:rPr>
              <w:t>公告、供应商须知、评审方法和标准、响应文件格式的先后顺序解释；</w:t>
            </w:r>
          </w:p>
          <w:p>
            <w:pPr>
              <w:widowControl/>
              <w:spacing w:line="500" w:lineRule="exact"/>
              <w:rPr>
                <w:rFonts w:ascii="宋体" w:hAnsi="宋体"/>
                <w:sz w:val="24"/>
                <w:highlight w:val="none"/>
              </w:rPr>
            </w:pPr>
            <w:r>
              <w:rPr>
                <w:rFonts w:ascii="宋体" w:hAnsi="宋体"/>
                <w:sz w:val="24"/>
                <w:highlight w:val="none"/>
              </w:rPr>
              <w:t>（5）按本款前述规定仍不能形成结论的，由采购人负责解释。</w:t>
            </w:r>
          </w:p>
        </w:tc>
      </w:tr>
    </w:tbl>
    <w:p>
      <w:pPr>
        <w:bidi w:val="0"/>
      </w:pPr>
      <w:r>
        <w:br w:type="page"/>
      </w:r>
    </w:p>
    <w:p>
      <w:pPr>
        <w:pStyle w:val="4"/>
        <w:pageBreakBefore w:val="0"/>
        <w:kinsoku/>
        <w:wordWrap/>
        <w:overflowPunct/>
        <w:topLinePunct w:val="0"/>
        <w:autoSpaceDE/>
        <w:autoSpaceDN/>
        <w:bidi w:val="0"/>
        <w:spacing w:line="520" w:lineRule="exact"/>
        <w:textAlignment w:val="auto"/>
        <w:rPr>
          <w:highlight w:val="none"/>
        </w:rPr>
      </w:pPr>
      <w:bookmarkStart w:id="10" w:name="_Toc6707"/>
      <w:bookmarkStart w:id="11" w:name="_Toc154731045"/>
      <w:r>
        <w:rPr>
          <w:rFonts w:hint="eastAsia"/>
          <w:highlight w:val="none"/>
        </w:rPr>
        <w:t>第三章 采购需求</w:t>
      </w:r>
      <w:bookmarkEnd w:id="10"/>
      <w:bookmarkEnd w:id="11"/>
    </w:p>
    <w:p>
      <w:pPr>
        <w:pStyle w:val="4"/>
        <w:ind w:firstLine="720"/>
        <w:rPr>
          <w:sz w:val="36"/>
          <w:szCs w:val="36"/>
          <w:u w:val="none"/>
        </w:rPr>
      </w:pPr>
      <w:r>
        <w:rPr>
          <w:rFonts w:hint="eastAsia"/>
          <w:sz w:val="36"/>
          <w:szCs w:val="36"/>
          <w:u w:val="none"/>
        </w:rPr>
        <w:t>采购需求</w:t>
      </w:r>
    </w:p>
    <w:p>
      <w:pPr>
        <w:spacing w:line="360" w:lineRule="auto"/>
        <w:ind w:firstLine="482" w:firstLineChars="200"/>
        <w:rPr>
          <w:rFonts w:ascii="宋体" w:hAnsi="宋体"/>
          <w:b/>
          <w:sz w:val="24"/>
          <w:u w:val="none"/>
        </w:rPr>
      </w:pPr>
      <w:r>
        <w:rPr>
          <w:rFonts w:hint="eastAsia" w:ascii="宋体" w:hAnsi="宋体"/>
          <w:b/>
          <w:sz w:val="24"/>
          <w:u w:val="none"/>
        </w:rPr>
        <w:t>一、采购需求前附表</w:t>
      </w:r>
    </w:p>
    <w:tbl>
      <w:tblPr>
        <w:tblStyle w:val="58"/>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2389"/>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jc w:val="center"/>
              <w:rPr>
                <w:rFonts w:ascii="宋体" w:hAnsi="宋体"/>
                <w:b/>
                <w:sz w:val="24"/>
                <w:u w:val="none"/>
              </w:rPr>
            </w:pPr>
            <w:r>
              <w:rPr>
                <w:rFonts w:hint="eastAsia" w:ascii="宋体" w:hAnsi="宋体"/>
                <w:b/>
                <w:sz w:val="24"/>
                <w:u w:val="none"/>
              </w:rPr>
              <w:t>序号</w:t>
            </w:r>
          </w:p>
        </w:tc>
        <w:tc>
          <w:tcPr>
            <w:tcW w:w="2389" w:type="dxa"/>
            <w:vAlign w:val="center"/>
          </w:tcPr>
          <w:p>
            <w:pPr>
              <w:jc w:val="center"/>
              <w:rPr>
                <w:rFonts w:ascii="宋体" w:hAnsi="宋体"/>
                <w:b/>
                <w:sz w:val="24"/>
                <w:u w:val="none"/>
              </w:rPr>
            </w:pPr>
            <w:r>
              <w:rPr>
                <w:rFonts w:hint="eastAsia" w:ascii="宋体" w:hAnsi="宋体"/>
                <w:b/>
                <w:sz w:val="24"/>
                <w:u w:val="none"/>
              </w:rPr>
              <w:t>条款名称</w:t>
            </w:r>
          </w:p>
        </w:tc>
        <w:tc>
          <w:tcPr>
            <w:tcW w:w="6090" w:type="dxa"/>
            <w:vAlign w:val="center"/>
          </w:tcPr>
          <w:p>
            <w:pPr>
              <w:pStyle w:val="206"/>
              <w:widowControl w:val="0"/>
              <w:spacing w:before="0" w:beforeAutospacing="0" w:after="0" w:afterAutospacing="0"/>
              <w:ind w:firstLine="480"/>
              <w:rPr>
                <w:rFonts w:ascii="宋体" w:hAnsi="宋体"/>
                <w:bCs w:val="0"/>
                <w:kern w:val="2"/>
                <w:sz w:val="24"/>
                <w:szCs w:val="20"/>
                <w:u w:val="none"/>
              </w:rPr>
            </w:pPr>
            <w:r>
              <w:rPr>
                <w:rFonts w:hint="eastAsia" w:ascii="宋体" w:hAnsi="宋体"/>
                <w:bCs w:val="0"/>
                <w:kern w:val="2"/>
                <w:sz w:val="24"/>
                <w:szCs w:val="20"/>
                <w:u w:val="none"/>
              </w:rPr>
              <w:t>内容、说明与要求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Style w:val="129"/>
              <w:pBdr>
                <w:bottom w:val="none" w:color="auto" w:sz="0" w:space="0"/>
              </w:pBdr>
              <w:tabs>
                <w:tab w:val="clear" w:pos="4153"/>
                <w:tab w:val="clear" w:pos="8306"/>
              </w:tabs>
              <w:adjustRightInd/>
              <w:spacing w:line="240" w:lineRule="auto"/>
              <w:textAlignment w:val="auto"/>
              <w:rPr>
                <w:rFonts w:ascii="宋体" w:hAnsi="宋体"/>
                <w:bCs/>
                <w:kern w:val="2"/>
                <w:u w:val="none"/>
              </w:rPr>
            </w:pPr>
            <w:r>
              <w:rPr>
                <w:rFonts w:hint="eastAsia" w:ascii="宋体" w:hAnsi="宋体"/>
                <w:bCs/>
                <w:kern w:val="2"/>
                <w:u w:val="none"/>
              </w:rPr>
              <w:t>1</w:t>
            </w:r>
          </w:p>
        </w:tc>
        <w:tc>
          <w:tcPr>
            <w:tcW w:w="2389" w:type="dxa"/>
            <w:vAlign w:val="center"/>
          </w:tcPr>
          <w:p>
            <w:pPr>
              <w:jc w:val="center"/>
              <w:rPr>
                <w:rFonts w:ascii="宋体" w:hAnsi="宋体"/>
                <w:bCs/>
                <w:sz w:val="24"/>
                <w:u w:val="none"/>
              </w:rPr>
            </w:pPr>
            <w:r>
              <w:rPr>
                <w:rFonts w:hint="eastAsia" w:ascii="宋体" w:hAnsi="宋体"/>
                <w:bCs/>
                <w:sz w:val="24"/>
                <w:u w:val="none"/>
              </w:rPr>
              <w:t>付款方式</w:t>
            </w:r>
          </w:p>
        </w:tc>
        <w:tc>
          <w:tcPr>
            <w:tcW w:w="6090" w:type="dxa"/>
            <w:vAlign w:val="center"/>
          </w:tcPr>
          <w:p>
            <w:pPr>
              <w:pStyle w:val="206"/>
              <w:widowControl w:val="0"/>
              <w:spacing w:before="0" w:beforeAutospacing="0" w:after="0" w:afterAutospacing="0"/>
              <w:jc w:val="both"/>
              <w:rPr>
                <w:rFonts w:ascii="宋体" w:hAnsi="宋体"/>
                <w:b w:val="0"/>
                <w:bCs w:val="0"/>
                <w:sz w:val="24"/>
                <w:u w:val="none"/>
              </w:rPr>
            </w:pPr>
            <w:r>
              <w:rPr>
                <w:rFonts w:hint="eastAsia" w:ascii="宋体" w:hAnsi="宋体"/>
                <w:b w:val="0"/>
                <w:bCs w:val="0"/>
                <w:sz w:val="24"/>
                <w:u w:val="none"/>
              </w:rPr>
              <w:t>中标后，委托项目代理服务费由委托项目成交人承担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Style w:val="129"/>
              <w:pBdr>
                <w:bottom w:val="none" w:color="auto" w:sz="0" w:space="0"/>
              </w:pBdr>
              <w:tabs>
                <w:tab w:val="clear" w:pos="4153"/>
                <w:tab w:val="clear" w:pos="8306"/>
              </w:tabs>
              <w:adjustRightInd/>
              <w:spacing w:line="240" w:lineRule="auto"/>
              <w:textAlignment w:val="auto"/>
              <w:rPr>
                <w:rFonts w:ascii="宋体" w:hAnsi="宋体"/>
                <w:bCs/>
                <w:kern w:val="2"/>
                <w:u w:val="none"/>
              </w:rPr>
            </w:pPr>
            <w:r>
              <w:rPr>
                <w:rFonts w:hint="eastAsia" w:ascii="宋体" w:hAnsi="宋体"/>
                <w:bCs/>
                <w:kern w:val="2"/>
                <w:u w:val="none"/>
              </w:rPr>
              <w:t>2</w:t>
            </w:r>
          </w:p>
        </w:tc>
        <w:tc>
          <w:tcPr>
            <w:tcW w:w="2389" w:type="dxa"/>
            <w:vAlign w:val="center"/>
          </w:tcPr>
          <w:p>
            <w:pPr>
              <w:jc w:val="center"/>
              <w:rPr>
                <w:rFonts w:ascii="宋体" w:hAnsi="宋体"/>
                <w:sz w:val="24"/>
                <w:u w:val="none"/>
              </w:rPr>
            </w:pPr>
            <w:r>
              <w:rPr>
                <w:rFonts w:hint="eastAsia" w:ascii="宋体" w:hAnsi="宋体"/>
                <w:sz w:val="24"/>
                <w:u w:val="none"/>
              </w:rPr>
              <w:t>服务地点</w:t>
            </w:r>
          </w:p>
        </w:tc>
        <w:tc>
          <w:tcPr>
            <w:tcW w:w="6090" w:type="dxa"/>
            <w:vAlign w:val="center"/>
          </w:tcPr>
          <w:p>
            <w:pPr>
              <w:pStyle w:val="206"/>
              <w:widowControl w:val="0"/>
              <w:spacing w:before="0" w:beforeAutospacing="0" w:after="0" w:afterAutospacing="0"/>
              <w:jc w:val="both"/>
              <w:rPr>
                <w:rFonts w:ascii="宋体" w:hAnsi="宋体"/>
                <w:b w:val="0"/>
                <w:bCs w:val="0"/>
                <w:sz w:val="24"/>
                <w:u w:val="none"/>
              </w:rPr>
            </w:pPr>
            <w:r>
              <w:rPr>
                <w:rFonts w:hint="eastAsia" w:ascii="宋体" w:hAnsi="宋体"/>
                <w:b w:val="0"/>
                <w:bCs w:val="0"/>
                <w:sz w:val="24"/>
                <w:u w:val="none"/>
              </w:rPr>
              <w:t>亳州学院，采购人指定地点。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866" w:type="dxa"/>
            <w:vAlign w:val="center"/>
          </w:tcPr>
          <w:p>
            <w:pPr>
              <w:pStyle w:val="129"/>
              <w:pBdr>
                <w:bottom w:val="none" w:color="auto" w:sz="0" w:space="0"/>
              </w:pBdr>
              <w:tabs>
                <w:tab w:val="clear" w:pos="4153"/>
                <w:tab w:val="clear" w:pos="8306"/>
              </w:tabs>
              <w:adjustRightInd/>
              <w:spacing w:line="240" w:lineRule="auto"/>
              <w:textAlignment w:val="auto"/>
              <w:rPr>
                <w:rFonts w:ascii="宋体" w:hAnsi="宋体"/>
                <w:bCs/>
                <w:kern w:val="2"/>
                <w:u w:val="none"/>
              </w:rPr>
            </w:pPr>
            <w:r>
              <w:rPr>
                <w:rFonts w:hint="eastAsia" w:ascii="宋体" w:hAnsi="宋体"/>
                <w:bCs/>
                <w:kern w:val="2"/>
                <w:u w:val="none"/>
              </w:rPr>
              <w:t>3</w:t>
            </w:r>
          </w:p>
        </w:tc>
        <w:tc>
          <w:tcPr>
            <w:tcW w:w="2389" w:type="dxa"/>
            <w:vAlign w:val="center"/>
          </w:tcPr>
          <w:p>
            <w:pPr>
              <w:jc w:val="center"/>
              <w:rPr>
                <w:rFonts w:ascii="宋体" w:hAnsi="宋体"/>
                <w:sz w:val="24"/>
                <w:u w:val="none"/>
              </w:rPr>
            </w:pPr>
            <w:r>
              <w:rPr>
                <w:rFonts w:hint="eastAsia" w:ascii="宋体" w:hAnsi="宋体"/>
                <w:sz w:val="24"/>
                <w:u w:val="none"/>
              </w:rPr>
              <w:t>服务期限</w:t>
            </w:r>
          </w:p>
        </w:tc>
        <w:tc>
          <w:tcPr>
            <w:tcW w:w="6090" w:type="dxa"/>
            <w:vAlign w:val="center"/>
          </w:tcPr>
          <w:p>
            <w:pPr>
              <w:pStyle w:val="206"/>
              <w:widowControl w:val="0"/>
              <w:spacing w:before="0" w:beforeAutospacing="0" w:after="0" w:afterAutospacing="0"/>
              <w:jc w:val="both"/>
              <w:rPr>
                <w:rFonts w:ascii="宋体" w:hAnsi="宋体"/>
                <w:b w:val="0"/>
                <w:bCs w:val="0"/>
                <w:sz w:val="24"/>
                <w:u w:val="none"/>
              </w:rPr>
            </w:pPr>
            <w:r>
              <w:rPr>
                <w:rFonts w:hint="eastAsia" w:ascii="宋体" w:hAnsi="宋体"/>
                <w:b w:val="0"/>
                <w:bCs w:val="0"/>
                <w:sz w:val="24"/>
                <w:u w:val="none"/>
              </w:rPr>
              <w:t>合同签订后，至2026年12月31日为止，</w:t>
            </w:r>
            <w:r>
              <w:rPr>
                <w:rFonts w:hint="eastAsia" w:ascii="宋体" w:hAnsi="宋体"/>
                <w:b w:val="0"/>
                <w:bCs w:val="0"/>
                <w:sz w:val="24"/>
                <w:highlight w:val="none"/>
                <w:u w:val="none"/>
              </w:rPr>
              <w:t>合同一年一签。</w:t>
            </w:r>
          </w:p>
        </w:tc>
      </w:tr>
    </w:tbl>
    <w:p>
      <w:pPr>
        <w:spacing w:line="360" w:lineRule="auto"/>
        <w:ind w:firstLine="482" w:firstLineChars="200"/>
        <w:rPr>
          <w:rFonts w:ascii="宋体" w:hAnsi="宋体"/>
          <w:b/>
          <w:sz w:val="24"/>
          <w:u w:val="none"/>
        </w:rPr>
      </w:pPr>
      <w:r>
        <w:rPr>
          <w:rFonts w:hint="eastAsia" w:ascii="宋体" w:hAnsi="宋体"/>
          <w:b/>
          <w:sz w:val="24"/>
          <w:u w:val="none"/>
        </w:rPr>
        <w:t>二、项目概况</w:t>
      </w:r>
    </w:p>
    <w:p>
      <w:pPr>
        <w:spacing w:line="360" w:lineRule="auto"/>
        <w:ind w:firstLine="480" w:firstLineChars="200"/>
        <w:rPr>
          <w:rFonts w:ascii="宋体" w:hAnsi="宋体"/>
          <w:sz w:val="24"/>
          <w:u w:val="none"/>
        </w:rPr>
      </w:pPr>
      <w:r>
        <w:rPr>
          <w:rFonts w:hint="eastAsia" w:ascii="宋体" w:hAnsi="宋体"/>
          <w:sz w:val="24"/>
          <w:u w:val="none"/>
        </w:rPr>
        <w:t>本次招标拟选择2家招标代理机构，承担亳州学院采购项目服务期内工程、货物、服务等招标采购代理工作。服务期内，根据亳州学院内部规定，根据服务机构以往合作情况、项目实施人建议，在招标采购代理机构库中选择确定具体项目的招标采购代理机构。</w:t>
      </w:r>
    </w:p>
    <w:p>
      <w:pPr>
        <w:spacing w:line="360" w:lineRule="auto"/>
        <w:ind w:firstLine="480" w:firstLineChars="200"/>
        <w:rPr>
          <w:rFonts w:ascii="宋体" w:hAnsi="宋体"/>
          <w:sz w:val="24"/>
          <w:u w:val="none"/>
        </w:rPr>
      </w:pPr>
      <w:r>
        <w:rPr>
          <w:rFonts w:hint="eastAsia" w:ascii="宋体" w:hAnsi="宋体"/>
          <w:sz w:val="24"/>
          <w:u w:val="none"/>
        </w:rPr>
        <w:t>本项目不属于依法必须招标项目，亦不属于政府采购，仅参照比选组织相关采购工作，相关法律法规中关于必须依法招标项目的条款及政府采购相关条款均不适用本项目。</w:t>
      </w:r>
    </w:p>
    <w:p>
      <w:pPr>
        <w:spacing w:line="360" w:lineRule="auto"/>
        <w:ind w:firstLine="482" w:firstLineChars="200"/>
        <w:rPr>
          <w:rFonts w:ascii="宋体" w:hAnsi="宋体"/>
          <w:b/>
          <w:sz w:val="24"/>
          <w:u w:val="none"/>
        </w:rPr>
      </w:pPr>
      <w:r>
        <w:rPr>
          <w:rFonts w:hint="eastAsia" w:ascii="宋体" w:hAnsi="宋体"/>
          <w:b/>
          <w:sz w:val="24"/>
          <w:u w:val="none"/>
        </w:rPr>
        <w:t>三、服务内容</w:t>
      </w:r>
    </w:p>
    <w:p>
      <w:pPr>
        <w:spacing w:line="360" w:lineRule="auto"/>
        <w:ind w:firstLine="480" w:firstLineChars="200"/>
        <w:rPr>
          <w:rFonts w:ascii="宋体" w:hAnsi="宋体"/>
          <w:sz w:val="24"/>
          <w:u w:val="none"/>
        </w:rPr>
      </w:pPr>
      <w:r>
        <w:rPr>
          <w:rFonts w:hint="eastAsia" w:ascii="宋体" w:hAnsi="宋体"/>
          <w:sz w:val="24"/>
          <w:u w:val="none"/>
        </w:rPr>
        <w:t>1、采购代理机构须为我院提供采购全过程（采购前、采购过程中以及项目履约过程中）咨询工作，依法编制需要提交的资格审查、招标投标情况的书面报告；依法编制采购公告、采购文件、中标（成交）公告等信息；根据采购人需要，组织专家进行标前论证工作。</w:t>
      </w:r>
    </w:p>
    <w:p>
      <w:pPr>
        <w:spacing w:line="360" w:lineRule="auto"/>
        <w:ind w:firstLine="480" w:firstLineChars="200"/>
        <w:rPr>
          <w:rFonts w:ascii="宋体" w:hAnsi="宋体"/>
          <w:sz w:val="24"/>
          <w:u w:val="none"/>
        </w:rPr>
      </w:pPr>
      <w:r>
        <w:rPr>
          <w:rFonts w:hint="eastAsia" w:ascii="宋体" w:hAnsi="宋体"/>
          <w:sz w:val="24"/>
          <w:u w:val="none"/>
        </w:rPr>
        <w:t>2、依法发布采购公告和发售采购文件，组织接收投标人（供应商）报名及接收申请资料，审查投标人（供应商）报名资格；根据项目实际需要，依法组织投标人（供应商）踏勘现场。</w:t>
      </w:r>
    </w:p>
    <w:p>
      <w:pPr>
        <w:spacing w:line="360" w:lineRule="auto"/>
        <w:ind w:firstLine="480" w:firstLineChars="200"/>
        <w:rPr>
          <w:rFonts w:ascii="宋体" w:hAnsi="宋体"/>
          <w:sz w:val="24"/>
          <w:u w:val="none"/>
        </w:rPr>
      </w:pPr>
      <w:r>
        <w:rPr>
          <w:rFonts w:hint="eastAsia" w:ascii="宋体" w:hAnsi="宋体"/>
          <w:sz w:val="24"/>
          <w:u w:val="none"/>
        </w:rPr>
        <w:t>3、针对采购期间的质疑、投诉、举报，根据有关法律法规，组织专家答疑并整理答疑纪要文件，并及时发布答疑澄清公告。</w:t>
      </w:r>
    </w:p>
    <w:p>
      <w:pPr>
        <w:spacing w:line="360" w:lineRule="auto"/>
        <w:ind w:firstLine="480" w:firstLineChars="200"/>
        <w:rPr>
          <w:rFonts w:ascii="宋体" w:hAnsi="宋体"/>
          <w:sz w:val="24"/>
          <w:u w:val="none"/>
        </w:rPr>
      </w:pPr>
      <w:r>
        <w:rPr>
          <w:rFonts w:hint="eastAsia" w:ascii="宋体" w:hAnsi="宋体"/>
          <w:sz w:val="24"/>
          <w:u w:val="none"/>
        </w:rPr>
        <w:t>4、中标人具备在安徽省综合评标评审专家库和安徽省招标采购协会专家库</w:t>
      </w:r>
      <w:r>
        <w:rPr>
          <w:rFonts w:hint="eastAsia" w:ascii="宋体" w:hAnsi="宋体"/>
          <w:sz w:val="24"/>
          <w:u w:val="none"/>
          <w:lang w:val="en-US" w:eastAsia="zh-CN"/>
        </w:rPr>
        <w:t>及其他专家库</w:t>
      </w:r>
      <w:r>
        <w:rPr>
          <w:rFonts w:hint="eastAsia" w:ascii="宋体" w:hAnsi="宋体"/>
          <w:sz w:val="24"/>
          <w:u w:val="none"/>
        </w:rPr>
        <w:t>抽取专家的能力，落实开评标场地，依法组织采购活动（专家抽取、评审等）并出具评审结果报告。</w:t>
      </w:r>
    </w:p>
    <w:p>
      <w:pPr>
        <w:spacing w:line="360" w:lineRule="auto"/>
        <w:ind w:firstLine="480" w:firstLineChars="200"/>
        <w:rPr>
          <w:rFonts w:ascii="宋体" w:hAnsi="宋体"/>
          <w:sz w:val="24"/>
          <w:u w:val="none"/>
        </w:rPr>
      </w:pPr>
      <w:r>
        <w:rPr>
          <w:rFonts w:hint="eastAsia" w:ascii="宋体" w:hAnsi="宋体"/>
          <w:sz w:val="24"/>
          <w:u w:val="none"/>
        </w:rPr>
        <w:t>5、依法办理采购活动备案事宜。</w:t>
      </w:r>
    </w:p>
    <w:p>
      <w:pPr>
        <w:spacing w:line="360" w:lineRule="auto"/>
        <w:ind w:firstLine="480" w:firstLineChars="200"/>
        <w:rPr>
          <w:rFonts w:ascii="宋体" w:hAnsi="宋体"/>
          <w:sz w:val="24"/>
          <w:u w:val="none"/>
        </w:rPr>
      </w:pPr>
      <w:r>
        <w:rPr>
          <w:rFonts w:hint="eastAsia" w:ascii="宋体" w:hAnsi="宋体"/>
          <w:sz w:val="24"/>
          <w:u w:val="none"/>
        </w:rPr>
        <w:t>6、协助采购人处理审计过程中采购活动有关的问题，必要时应能够提供书面回复函，或委派相关工作人员或法律人员到场进行解答。</w:t>
      </w:r>
    </w:p>
    <w:p>
      <w:pPr>
        <w:spacing w:line="360" w:lineRule="auto"/>
        <w:ind w:firstLine="480" w:firstLineChars="200"/>
        <w:rPr>
          <w:rFonts w:ascii="宋体" w:hAnsi="宋体"/>
          <w:sz w:val="24"/>
          <w:u w:val="none"/>
        </w:rPr>
      </w:pPr>
      <w:r>
        <w:rPr>
          <w:rFonts w:hint="eastAsia" w:ascii="宋体" w:hAnsi="宋体"/>
          <w:sz w:val="24"/>
          <w:u w:val="none"/>
        </w:rPr>
        <w:t>7、成交人应有专门的项目负责人与采购人对接，负责日常项目信息对接、联系、以及根据采购人需要提供相关材料及采购业务咨询服务。并能提供专业的项目组及成员，为采购人日常标书制作等工作提供服务。</w:t>
      </w:r>
    </w:p>
    <w:p>
      <w:pPr>
        <w:spacing w:line="360" w:lineRule="auto"/>
        <w:ind w:firstLine="480" w:firstLineChars="200"/>
        <w:rPr>
          <w:rFonts w:ascii="宋体" w:hAnsi="宋体"/>
          <w:sz w:val="24"/>
          <w:highlight w:val="none"/>
          <w:u w:val="none"/>
        </w:rPr>
      </w:pPr>
      <w:r>
        <w:rPr>
          <w:rFonts w:hint="eastAsia" w:ascii="宋体" w:hAnsi="宋体"/>
          <w:sz w:val="24"/>
          <w:highlight w:val="none"/>
          <w:u w:val="none"/>
        </w:rPr>
        <w:t>8、根据采购人的需求，</w:t>
      </w:r>
      <w:r>
        <w:rPr>
          <w:rFonts w:hint="eastAsia" w:ascii="宋体" w:hAnsi="宋体"/>
          <w:sz w:val="24"/>
          <w:highlight w:val="none"/>
          <w:u w:val="none"/>
          <w:lang w:val="en-US" w:eastAsia="zh-CN"/>
        </w:rPr>
        <w:t>能满足</w:t>
      </w:r>
      <w:r>
        <w:rPr>
          <w:rFonts w:hint="eastAsia" w:ascii="宋体" w:hAnsi="宋体"/>
          <w:sz w:val="24"/>
          <w:highlight w:val="none"/>
          <w:u w:val="none"/>
        </w:rPr>
        <w:t>在亳州本地</w:t>
      </w:r>
      <w:r>
        <w:rPr>
          <w:rFonts w:hint="eastAsia" w:ascii="宋体" w:hAnsi="宋体"/>
          <w:sz w:val="24"/>
          <w:highlight w:val="none"/>
          <w:u w:val="none"/>
          <w:lang w:val="en-US" w:eastAsia="zh-CN"/>
        </w:rPr>
        <w:t>组织特殊项目的采购活动</w:t>
      </w:r>
      <w:r>
        <w:rPr>
          <w:rFonts w:hint="eastAsia" w:ascii="宋体" w:hAnsi="宋体"/>
          <w:sz w:val="24"/>
          <w:highlight w:val="none"/>
          <w:u w:val="none"/>
        </w:rPr>
        <w:t>（如教职工体检服务项目</w:t>
      </w:r>
      <w:r>
        <w:rPr>
          <w:rFonts w:hint="eastAsia" w:ascii="宋体" w:hAnsi="宋体"/>
          <w:sz w:val="24"/>
          <w:highlight w:val="none"/>
          <w:u w:val="none"/>
          <w:lang w:eastAsia="zh-CN"/>
        </w:rPr>
        <w:t>、</w:t>
      </w:r>
      <w:r>
        <w:rPr>
          <w:rFonts w:hint="eastAsia" w:ascii="宋体" w:hAnsi="宋体"/>
          <w:sz w:val="24"/>
          <w:highlight w:val="none"/>
          <w:u w:val="none"/>
          <w:lang w:val="en-US" w:eastAsia="zh-CN"/>
        </w:rPr>
        <w:t>教职工福利项目及小额专业性强的教科研项目等</w:t>
      </w:r>
      <w:r>
        <w:rPr>
          <w:rFonts w:hint="eastAsia" w:ascii="宋体" w:hAnsi="宋体"/>
          <w:sz w:val="24"/>
          <w:highlight w:val="none"/>
          <w:u w:val="none"/>
        </w:rPr>
        <w:t>）。</w:t>
      </w:r>
    </w:p>
    <w:p>
      <w:pPr>
        <w:spacing w:line="360" w:lineRule="auto"/>
        <w:ind w:firstLine="480" w:firstLineChars="200"/>
        <w:rPr>
          <w:rFonts w:ascii="宋体" w:hAnsi="宋体"/>
          <w:sz w:val="24"/>
          <w:u w:val="none"/>
        </w:rPr>
      </w:pPr>
      <w:r>
        <w:rPr>
          <w:rFonts w:hint="eastAsia" w:ascii="宋体" w:hAnsi="宋体"/>
          <w:sz w:val="24"/>
          <w:u w:val="none"/>
        </w:rPr>
        <w:t>9、处理与采购有关的其他事宜。</w:t>
      </w:r>
    </w:p>
    <w:p>
      <w:pPr>
        <w:spacing w:line="360" w:lineRule="auto"/>
        <w:ind w:firstLine="482" w:firstLineChars="200"/>
        <w:rPr>
          <w:rFonts w:ascii="宋体" w:hAnsi="宋体"/>
          <w:b/>
          <w:sz w:val="24"/>
          <w:u w:val="none"/>
        </w:rPr>
      </w:pPr>
      <w:r>
        <w:rPr>
          <w:rFonts w:hint="eastAsia" w:ascii="宋体" w:hAnsi="宋体"/>
          <w:b/>
          <w:sz w:val="24"/>
          <w:u w:val="none"/>
        </w:rPr>
        <w:t>四、服务要求</w:t>
      </w:r>
    </w:p>
    <w:p>
      <w:pPr>
        <w:spacing w:line="360" w:lineRule="auto"/>
        <w:ind w:firstLine="480" w:firstLineChars="200"/>
        <w:rPr>
          <w:rFonts w:ascii="宋体" w:hAnsi="宋体"/>
          <w:sz w:val="24"/>
          <w:u w:val="none"/>
        </w:rPr>
      </w:pPr>
      <w:r>
        <w:rPr>
          <w:rFonts w:hint="eastAsia" w:ascii="宋体" w:hAnsi="宋体"/>
          <w:sz w:val="24"/>
          <w:u w:val="none"/>
        </w:rPr>
        <w:t>1、成交人应具备开展采购活动的固定场所（开标室、评标室位于成交人的办公场所内），并具有完成项目代理全流程的相关软硬件设施，开评标全过程留有视频记录，并能在开标后与其余采购资料同时移交。</w:t>
      </w:r>
    </w:p>
    <w:p>
      <w:pPr>
        <w:spacing w:line="360" w:lineRule="auto"/>
        <w:ind w:firstLine="480" w:firstLineChars="200"/>
        <w:rPr>
          <w:rFonts w:ascii="宋体" w:hAnsi="宋体"/>
          <w:sz w:val="24"/>
          <w:u w:val="none"/>
        </w:rPr>
      </w:pPr>
      <w:r>
        <w:rPr>
          <w:rFonts w:hint="eastAsia" w:ascii="宋体" w:hAnsi="宋体"/>
          <w:sz w:val="24"/>
          <w:u w:val="none"/>
        </w:rPr>
        <w:t>2、成交人应具有一定数量的招标代理人员，且相关人员应具有多年的政府采购、工程招标代理经验，善于沟通，具有丰富的文件编制、审核、开标组织、处理质疑投诉等能力。对政府采购、建设工程最新政策及时掌握，并应用于采购过程中，避免因政策变化影响项目执行效率。</w:t>
      </w:r>
    </w:p>
    <w:p>
      <w:pPr>
        <w:spacing w:line="360" w:lineRule="auto"/>
        <w:ind w:firstLine="480" w:firstLineChars="200"/>
        <w:rPr>
          <w:rFonts w:ascii="宋体" w:hAnsi="宋体"/>
          <w:sz w:val="24"/>
          <w:u w:val="none"/>
        </w:rPr>
      </w:pPr>
      <w:r>
        <w:rPr>
          <w:rFonts w:hint="eastAsia" w:ascii="宋体" w:hAnsi="宋体"/>
          <w:sz w:val="24"/>
          <w:u w:val="none"/>
        </w:rPr>
        <w:t>3、成交人在服务期内须服从亳州学院的日常业务管理，遵守亳州学院采购管理相关制度办法规定。成交人接到亳州学院委派代理委托书和相关采购需求资料后，须在2个工作日内完成采购文件编制或修订反馈工作，特殊紧急项目应能在接到采购项目后当日完成采购文件及采购公告编制工作。</w:t>
      </w:r>
    </w:p>
    <w:p>
      <w:pPr>
        <w:spacing w:line="360" w:lineRule="auto"/>
        <w:ind w:firstLine="480" w:firstLineChars="200"/>
        <w:rPr>
          <w:rFonts w:ascii="宋体" w:hAnsi="宋体"/>
          <w:sz w:val="24"/>
          <w:u w:val="none"/>
        </w:rPr>
      </w:pPr>
      <w:r>
        <w:rPr>
          <w:rFonts w:hint="eastAsia" w:ascii="宋体" w:hAnsi="宋体"/>
          <w:sz w:val="24"/>
          <w:u w:val="none"/>
        </w:rPr>
        <w:t>4、根据采购项目需要，成交人应能够提供场地并协助采购人组织相关采购需求论证或者采购文件会商论证事宜，重大复杂招标活动或者招标人根据综合研判情况，要求中标人提供驻点服务时，中标人必须无条件响应提供驻点服务。</w:t>
      </w:r>
    </w:p>
    <w:p>
      <w:pPr>
        <w:spacing w:line="360" w:lineRule="auto"/>
        <w:ind w:firstLine="480" w:firstLineChars="200"/>
        <w:rPr>
          <w:rFonts w:ascii="宋体" w:hAnsi="宋体"/>
          <w:sz w:val="24"/>
          <w:u w:val="none"/>
        </w:rPr>
      </w:pPr>
      <w:r>
        <w:rPr>
          <w:rFonts w:hint="eastAsia" w:ascii="宋体" w:hAnsi="宋体"/>
          <w:sz w:val="24"/>
          <w:u w:val="none"/>
        </w:rPr>
        <w:t>5、成交人在组织开标前，应能够通过企业关系查询软件查询报名同一项目的成交人之间的关联关系，对存在《公司法》第二百一十六规定关联关系的同一项目投标人（成交人）须向采购人报告，如符合有关法律法规可以继续开评标的，应提醒评审专家详细查阅相关投标人的投标文件，确保无围、串标行为。</w:t>
      </w:r>
    </w:p>
    <w:p>
      <w:pPr>
        <w:spacing w:line="360" w:lineRule="auto"/>
        <w:ind w:firstLine="480" w:firstLineChars="200"/>
        <w:rPr>
          <w:rFonts w:ascii="宋体" w:hAnsi="宋体"/>
          <w:sz w:val="24"/>
          <w:u w:val="none"/>
        </w:rPr>
      </w:pPr>
      <w:r>
        <w:rPr>
          <w:rFonts w:hint="eastAsia" w:ascii="宋体" w:hAnsi="宋体"/>
          <w:sz w:val="24"/>
          <w:u w:val="none"/>
        </w:rPr>
        <w:t>6、相关时间节点：</w:t>
      </w:r>
    </w:p>
    <w:p>
      <w:pPr>
        <w:spacing w:line="360" w:lineRule="auto"/>
        <w:ind w:firstLine="480" w:firstLineChars="200"/>
        <w:rPr>
          <w:rFonts w:ascii="宋体" w:hAnsi="宋体"/>
          <w:sz w:val="24"/>
          <w:u w:val="none"/>
        </w:rPr>
      </w:pPr>
      <w:r>
        <w:rPr>
          <w:rFonts w:hint="eastAsia" w:ascii="宋体" w:hAnsi="宋体"/>
          <w:sz w:val="24"/>
          <w:u w:val="none"/>
        </w:rPr>
        <w:t>(1)获取具体项目任务单和资料后，1个工作日内完成与采购人对接；</w:t>
      </w:r>
    </w:p>
    <w:p>
      <w:pPr>
        <w:spacing w:line="360" w:lineRule="auto"/>
        <w:ind w:firstLine="480" w:firstLineChars="200"/>
        <w:rPr>
          <w:rFonts w:ascii="宋体" w:hAnsi="宋体"/>
          <w:sz w:val="24"/>
          <w:u w:val="none"/>
        </w:rPr>
      </w:pPr>
      <w:r>
        <w:rPr>
          <w:rFonts w:hint="eastAsia" w:ascii="宋体" w:hAnsi="宋体"/>
          <w:sz w:val="24"/>
          <w:u w:val="none"/>
        </w:rPr>
        <w:t>(2)确定招标采购需求后2个工作日内完成采购文件初稿编制或采购需求文件问题反馈稿；</w:t>
      </w:r>
    </w:p>
    <w:p>
      <w:pPr>
        <w:spacing w:line="360" w:lineRule="auto"/>
        <w:ind w:firstLine="480" w:firstLineChars="200"/>
        <w:rPr>
          <w:rFonts w:ascii="宋体" w:hAnsi="宋体"/>
          <w:sz w:val="24"/>
          <w:u w:val="none"/>
        </w:rPr>
      </w:pPr>
      <w:r>
        <w:rPr>
          <w:rFonts w:hint="eastAsia" w:ascii="宋体" w:hAnsi="宋体"/>
          <w:sz w:val="24"/>
          <w:u w:val="none"/>
        </w:rPr>
        <w:t>(3)招标采购文件定稿，且采购人内部审核流程结束，确认可以挂网后，能于1个工作日内完成招标采购公告发布；</w:t>
      </w:r>
    </w:p>
    <w:p>
      <w:pPr>
        <w:spacing w:line="360" w:lineRule="auto"/>
        <w:ind w:firstLine="480" w:firstLineChars="200"/>
        <w:rPr>
          <w:rFonts w:ascii="宋体" w:hAnsi="宋体"/>
          <w:sz w:val="24"/>
          <w:u w:val="none"/>
        </w:rPr>
      </w:pPr>
      <w:r>
        <w:rPr>
          <w:rFonts w:hint="eastAsia" w:ascii="宋体" w:hAnsi="宋体"/>
          <w:sz w:val="24"/>
          <w:u w:val="none"/>
        </w:rPr>
        <w:t>(4)招标采购公告发布后按规定时间完成开标、评审工作；</w:t>
      </w:r>
    </w:p>
    <w:p>
      <w:pPr>
        <w:spacing w:line="360" w:lineRule="auto"/>
        <w:ind w:firstLine="480" w:firstLineChars="200"/>
        <w:rPr>
          <w:rFonts w:ascii="宋体" w:hAnsi="宋体"/>
          <w:sz w:val="24"/>
          <w:u w:val="none"/>
        </w:rPr>
      </w:pPr>
      <w:r>
        <w:rPr>
          <w:rFonts w:hint="eastAsia" w:ascii="宋体" w:hAnsi="宋体"/>
          <w:sz w:val="24"/>
          <w:u w:val="none"/>
        </w:rPr>
        <w:t>(5)确定中标（成交）人后，成交人应于3个工作日内办理完成中标（成交）通知书，并提醒中标人于采购人联系办理合同签订事宜；</w:t>
      </w:r>
    </w:p>
    <w:p>
      <w:pPr>
        <w:spacing w:line="360" w:lineRule="auto"/>
        <w:ind w:firstLine="480" w:firstLineChars="200"/>
        <w:rPr>
          <w:rFonts w:ascii="宋体" w:hAnsi="宋体"/>
          <w:sz w:val="24"/>
          <w:u w:val="none"/>
        </w:rPr>
      </w:pPr>
      <w:r>
        <w:rPr>
          <w:rFonts w:hint="eastAsia" w:ascii="宋体" w:hAnsi="宋体"/>
          <w:sz w:val="24"/>
          <w:u w:val="none"/>
        </w:rPr>
        <w:t>(6)项目采购完成后，为招标采购人整理招标投档案（含未中标单位投标文件），采购项目中标（成交）通知书发出后，提供整套电子档案（包含：采购文件、成交通知书、投标文件电子版（含未中标单位投标文件）、详细评标报告、开评标过程全程录像），并于5 个工作日内将招标材料（2 套）汇编装订送采购人存档；</w:t>
      </w:r>
    </w:p>
    <w:p>
      <w:pPr>
        <w:spacing w:line="360" w:lineRule="auto"/>
        <w:ind w:firstLine="480" w:firstLineChars="200"/>
        <w:rPr>
          <w:rFonts w:ascii="宋体" w:hAnsi="宋体"/>
          <w:sz w:val="24"/>
          <w:u w:val="none"/>
        </w:rPr>
      </w:pPr>
      <w:r>
        <w:rPr>
          <w:rFonts w:hint="eastAsia" w:ascii="宋体" w:hAnsi="宋体"/>
          <w:sz w:val="24"/>
          <w:u w:val="none"/>
        </w:rPr>
        <w:t>(7)采购项目流标或者采购失败等情形，需在 1 个工作日内将流标或者采购失败原因以书面形式向采购人反馈。</w:t>
      </w:r>
    </w:p>
    <w:p>
      <w:pPr>
        <w:spacing w:line="360" w:lineRule="auto"/>
        <w:ind w:firstLine="480" w:firstLineChars="200"/>
        <w:rPr>
          <w:rFonts w:ascii="宋体" w:hAnsi="宋体"/>
          <w:sz w:val="24"/>
          <w:highlight w:val="none"/>
          <w:u w:val="none"/>
        </w:rPr>
      </w:pPr>
      <w:r>
        <w:rPr>
          <w:rFonts w:hint="eastAsia" w:ascii="宋体" w:hAnsi="宋体"/>
          <w:sz w:val="24"/>
          <w:highlight w:val="none"/>
          <w:u w:val="none"/>
        </w:rPr>
        <w:t>（8）本项目招标服务期限为三年，合同以1+1+1方式签订，每年合同到期前一个月，甲乙双方无异议可续签下一年合同。</w:t>
      </w:r>
    </w:p>
    <w:p>
      <w:pPr>
        <w:spacing w:line="360" w:lineRule="auto"/>
        <w:ind w:firstLine="480" w:firstLineChars="200"/>
        <w:rPr>
          <w:rFonts w:ascii="宋体" w:hAnsi="宋体"/>
          <w:sz w:val="24"/>
          <w:u w:val="none"/>
        </w:rPr>
      </w:pPr>
      <w:r>
        <w:rPr>
          <w:rFonts w:hint="eastAsia" w:ascii="宋体" w:hAnsi="宋体"/>
          <w:sz w:val="24"/>
          <w:u w:val="none"/>
        </w:rPr>
        <w:t>（9）招标人保留服务期内自行组织或另行增补采购代理机构或委托其他采购代理机构代理采购事宜的权利。</w:t>
      </w:r>
    </w:p>
    <w:p>
      <w:pPr>
        <w:spacing w:line="360" w:lineRule="auto"/>
        <w:ind w:firstLine="480" w:firstLineChars="200"/>
        <w:rPr>
          <w:rFonts w:ascii="宋体" w:hAnsi="宋体"/>
          <w:sz w:val="24"/>
          <w:u w:val="none"/>
        </w:rPr>
      </w:pPr>
      <w:r>
        <w:rPr>
          <w:rFonts w:hint="eastAsia" w:ascii="宋体" w:hAnsi="宋体"/>
          <w:sz w:val="24"/>
          <w:u w:val="none"/>
        </w:rPr>
        <w:t>（10）中标人每年免费承担招标人单位采购培训工作不少于1次。</w:t>
      </w:r>
    </w:p>
    <w:p>
      <w:pPr>
        <w:spacing w:line="360" w:lineRule="auto"/>
        <w:ind w:firstLine="480" w:firstLineChars="200"/>
        <w:rPr>
          <w:rFonts w:ascii="宋体" w:hAnsi="宋体"/>
          <w:sz w:val="24"/>
          <w:u w:val="none"/>
        </w:rPr>
      </w:pPr>
      <w:r>
        <w:rPr>
          <w:rFonts w:hint="eastAsia" w:ascii="宋体" w:hAnsi="宋体"/>
          <w:sz w:val="24"/>
          <w:u w:val="none"/>
        </w:rPr>
        <w:t>（11）如采购人需要，可定制化使用中标方的采购系统（采购人免费使用，且中标人有义务根据采购人需要提供采购项目的在关电子数据信息）。</w:t>
      </w:r>
    </w:p>
    <w:p>
      <w:pPr>
        <w:spacing w:line="360" w:lineRule="auto"/>
        <w:ind w:firstLine="482" w:firstLineChars="200"/>
        <w:rPr>
          <w:rFonts w:ascii="宋体" w:hAnsi="宋体"/>
          <w:b/>
          <w:sz w:val="24"/>
          <w:u w:val="none"/>
        </w:rPr>
      </w:pPr>
      <w:r>
        <w:rPr>
          <w:rFonts w:hint="eastAsia" w:ascii="宋体" w:hAnsi="宋体"/>
          <w:b/>
          <w:sz w:val="24"/>
          <w:u w:val="none"/>
        </w:rPr>
        <w:t>五、其他要求</w:t>
      </w:r>
    </w:p>
    <w:p>
      <w:pPr>
        <w:spacing w:line="360" w:lineRule="auto"/>
        <w:ind w:firstLine="480" w:firstLineChars="200"/>
        <w:rPr>
          <w:rFonts w:ascii="宋体" w:hAnsi="宋体"/>
          <w:sz w:val="24"/>
          <w:highlight w:val="none"/>
          <w:u w:val="none"/>
        </w:rPr>
      </w:pPr>
      <w:r>
        <w:rPr>
          <w:rFonts w:hint="eastAsia" w:ascii="宋体" w:hAnsi="宋体"/>
          <w:sz w:val="24"/>
          <w:u w:val="none"/>
        </w:rPr>
        <w:t>1.合同履约过程中如成交人给采购人造成工作损失或出现</w:t>
      </w:r>
      <w:r>
        <w:rPr>
          <w:rFonts w:hint="eastAsia" w:ascii="宋体" w:hAnsi="宋体"/>
          <w:sz w:val="24"/>
          <w:u w:val="none"/>
          <w:lang w:val="en-US" w:eastAsia="zh-CN"/>
        </w:rPr>
        <w:t>一</w:t>
      </w:r>
      <w:r>
        <w:rPr>
          <w:rFonts w:hint="eastAsia" w:ascii="宋体" w:hAnsi="宋体"/>
          <w:sz w:val="24"/>
          <w:u w:val="none"/>
        </w:rPr>
        <w:t>次以上重大错误，采购人有权单方面</w:t>
      </w:r>
      <w:r>
        <w:rPr>
          <w:rFonts w:hint="eastAsia" w:ascii="宋体" w:hAnsi="宋体"/>
          <w:sz w:val="24"/>
          <w:highlight w:val="none"/>
          <w:u w:val="none"/>
        </w:rPr>
        <w:t>解除合同，并向有关部门报告。</w:t>
      </w:r>
    </w:p>
    <w:p>
      <w:pPr>
        <w:spacing w:line="360" w:lineRule="auto"/>
        <w:ind w:firstLine="482" w:firstLineChars="200"/>
        <w:rPr>
          <w:rFonts w:ascii="宋体" w:hAnsi="宋体"/>
          <w:b/>
          <w:sz w:val="24"/>
          <w:highlight w:val="none"/>
          <w:u w:val="none"/>
        </w:rPr>
      </w:pPr>
      <w:r>
        <w:rPr>
          <w:rFonts w:hint="eastAsia" w:ascii="宋体" w:hAnsi="宋体"/>
          <w:b/>
          <w:sz w:val="24"/>
          <w:highlight w:val="none"/>
          <w:u w:val="none"/>
        </w:rPr>
        <w:t>工作损失包括中标人给招标人造成的经济损失、名誉损失；重大错误包括中标人在文件编制、采购（中标成交）公告发布、采购组织等过程出现违背《中华人民共和国政府采购法》和《中华人民共和国招标投标法》及相关法律法规等错误行为。</w:t>
      </w:r>
    </w:p>
    <w:p>
      <w:pPr>
        <w:spacing w:line="360" w:lineRule="auto"/>
        <w:ind w:firstLine="480" w:firstLineChars="200"/>
        <w:rPr>
          <w:rFonts w:ascii="宋体" w:hAnsi="宋体"/>
          <w:sz w:val="24"/>
          <w:highlight w:val="none"/>
          <w:u w:val="none"/>
        </w:rPr>
      </w:pPr>
      <w:r>
        <w:rPr>
          <w:rFonts w:hint="eastAsia" w:ascii="宋体" w:hAnsi="宋体"/>
          <w:sz w:val="24"/>
          <w:highlight w:val="none"/>
          <w:u w:val="none"/>
        </w:rPr>
        <w:t>2.成交人须满足《财政部关于印发&lt;政府采购代理机构管理暂行办法&gt;的通知》（财库〔2018〕2号）规定的相关要求；中标后，成交人须服从亳州学院管理，遵守学院相关制度规定。</w:t>
      </w:r>
    </w:p>
    <w:p>
      <w:pPr>
        <w:spacing w:line="360" w:lineRule="auto"/>
        <w:ind w:firstLine="480" w:firstLineChars="200"/>
        <w:rPr>
          <w:rFonts w:ascii="宋体" w:hAnsi="宋体"/>
          <w:sz w:val="24"/>
          <w:u w:val="none"/>
        </w:rPr>
      </w:pPr>
      <w:r>
        <w:rPr>
          <w:rFonts w:hint="eastAsia" w:ascii="宋体" w:hAnsi="宋体"/>
          <w:sz w:val="24"/>
          <w:highlight w:val="none"/>
          <w:u w:val="none"/>
        </w:rPr>
        <w:t>3.成</w:t>
      </w:r>
      <w:r>
        <w:rPr>
          <w:rFonts w:hint="eastAsia" w:ascii="宋体" w:hAnsi="宋体"/>
          <w:sz w:val="24"/>
          <w:u w:val="none"/>
        </w:rPr>
        <w:t>交人须承诺在采购项目前期准备及采购实施过程中，不对外透露任何项目信息（含项目相关情况、项目负责人等信息）。</w:t>
      </w:r>
    </w:p>
    <w:p>
      <w:pPr>
        <w:pStyle w:val="4"/>
        <w:pageBreakBefore w:val="0"/>
        <w:kinsoku/>
        <w:wordWrap/>
        <w:overflowPunct/>
        <w:topLinePunct w:val="0"/>
        <w:autoSpaceDE/>
        <w:autoSpaceDN/>
        <w:bidi w:val="0"/>
        <w:spacing w:line="520" w:lineRule="exact"/>
        <w:textAlignment w:val="auto"/>
        <w:rPr>
          <w:color w:val="auto"/>
          <w:highlight w:val="none"/>
          <w:lang w:bidi="ar"/>
        </w:rPr>
      </w:pPr>
      <w:r>
        <w:rPr>
          <w:color w:val="auto"/>
          <w:highlight w:val="none"/>
          <w:lang w:bidi="ar"/>
        </w:rPr>
        <w:br w:type="page"/>
      </w:r>
      <w:bookmarkStart w:id="12" w:name="_Toc154731046"/>
      <w:bookmarkStart w:id="13" w:name="_Toc23408"/>
      <w:r>
        <w:rPr>
          <w:rFonts w:hint="eastAsia"/>
          <w:color w:val="auto"/>
          <w:highlight w:val="none"/>
          <w:lang w:bidi="ar"/>
        </w:rPr>
        <w:t>第四章</w:t>
      </w:r>
      <w:r>
        <w:rPr>
          <w:color w:val="auto"/>
          <w:highlight w:val="none"/>
          <w:lang w:bidi="ar"/>
        </w:rPr>
        <w:t xml:space="preserve"> </w:t>
      </w:r>
      <w:r>
        <w:rPr>
          <w:rFonts w:hint="eastAsia"/>
          <w:color w:val="auto"/>
          <w:highlight w:val="none"/>
          <w:lang w:bidi="ar"/>
        </w:rPr>
        <w:t>评审方法和标准</w:t>
      </w:r>
      <w:bookmarkEnd w:id="12"/>
      <w:bookmarkEnd w:id="13"/>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bidi="ar"/>
        </w:rPr>
      </w:pPr>
      <w:r>
        <w:rPr>
          <w:rFonts w:hint="eastAsia" w:ascii="宋体" w:hAnsi="宋体" w:cs="宋体"/>
          <w:b/>
          <w:color w:val="auto"/>
          <w:sz w:val="24"/>
          <w:szCs w:val="18"/>
          <w:highlight w:val="none"/>
          <w:lang w:bidi="ar"/>
        </w:rPr>
        <w:t>一、总则</w:t>
      </w:r>
    </w:p>
    <w:p>
      <w:pPr>
        <w:pageBreakBefore w:val="0"/>
        <w:kinsoku/>
        <w:wordWrap/>
        <w:overflowPunct/>
        <w:topLinePunct w:val="0"/>
        <w:autoSpaceDE/>
        <w:autoSpaceDN/>
        <w:bidi w:val="0"/>
        <w:spacing w:line="520" w:lineRule="exact"/>
        <w:ind w:firstLine="480" w:firstLineChars="200"/>
        <w:textAlignment w:val="auto"/>
        <w:rPr>
          <w:rFonts w:ascii="宋体" w:hAnsi="宋体" w:cs="宋体"/>
          <w:color w:val="auto"/>
          <w:sz w:val="24"/>
          <w:szCs w:val="18"/>
          <w:highlight w:val="none"/>
          <w:lang w:bidi="ar"/>
        </w:rPr>
      </w:pPr>
      <w:r>
        <w:rPr>
          <w:rFonts w:hint="eastAsia" w:ascii="宋体" w:hAnsi="宋体" w:cs="宋体"/>
          <w:color w:val="auto"/>
          <w:sz w:val="24"/>
          <w:szCs w:val="18"/>
          <w:highlight w:val="none"/>
          <w:lang w:bidi="ar"/>
        </w:rPr>
        <w:t>本项目将按照</w:t>
      </w:r>
      <w:r>
        <w:rPr>
          <w:rFonts w:hint="eastAsia" w:ascii="宋体" w:hAnsi="宋体" w:cs="宋体"/>
          <w:color w:val="auto"/>
          <w:sz w:val="24"/>
          <w:szCs w:val="18"/>
          <w:highlight w:val="none"/>
          <w:lang w:eastAsia="zh-CN" w:bidi="ar"/>
        </w:rPr>
        <w:t>比选</w:t>
      </w:r>
      <w:r>
        <w:rPr>
          <w:rFonts w:hint="eastAsia" w:ascii="宋体" w:hAnsi="宋体" w:cs="宋体"/>
          <w:color w:val="auto"/>
          <w:sz w:val="24"/>
          <w:szCs w:val="18"/>
          <w:highlight w:val="none"/>
          <w:lang w:bidi="ar"/>
        </w:rPr>
        <w:t>文件第二章</w:t>
      </w:r>
      <w:r>
        <w:rPr>
          <w:rFonts w:ascii="宋体" w:hAnsi="宋体" w:cs="宋体"/>
          <w:color w:val="auto"/>
          <w:sz w:val="24"/>
          <w:szCs w:val="18"/>
          <w:highlight w:val="none"/>
          <w:lang w:bidi="ar"/>
        </w:rPr>
        <w:t xml:space="preserve"> </w:t>
      </w:r>
      <w:r>
        <w:rPr>
          <w:rFonts w:hint="eastAsia" w:ascii="宋体" w:hAnsi="宋体" w:cs="宋体"/>
          <w:color w:val="auto"/>
          <w:sz w:val="24"/>
          <w:szCs w:val="18"/>
          <w:highlight w:val="none"/>
          <w:lang w:bidi="ar"/>
        </w:rPr>
        <w:t>供应商须知的相关要求及本章的规定评审。</w:t>
      </w:r>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bidi="ar"/>
        </w:rPr>
      </w:pPr>
      <w:r>
        <w:rPr>
          <w:rFonts w:hint="eastAsia" w:ascii="宋体" w:hAnsi="宋体" w:cs="宋体"/>
          <w:b/>
          <w:color w:val="auto"/>
          <w:sz w:val="24"/>
          <w:szCs w:val="18"/>
          <w:highlight w:val="none"/>
          <w:lang w:bidi="ar"/>
        </w:rPr>
        <w:t>二、评审方法</w:t>
      </w:r>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bidi="ar"/>
        </w:rPr>
      </w:pPr>
      <w:r>
        <w:rPr>
          <w:rFonts w:ascii="宋体" w:hAnsi="宋体" w:cs="宋体"/>
          <w:b/>
          <w:color w:val="auto"/>
          <w:sz w:val="24"/>
          <w:szCs w:val="18"/>
          <w:highlight w:val="none"/>
          <w:lang w:bidi="ar"/>
        </w:rPr>
        <w:t>2.1</w:t>
      </w:r>
      <w:r>
        <w:rPr>
          <w:rFonts w:hint="eastAsia" w:ascii="宋体" w:hAnsi="宋体" w:cs="宋体"/>
          <w:b/>
          <w:color w:val="auto"/>
          <w:sz w:val="24"/>
          <w:szCs w:val="18"/>
          <w:highlight w:val="none"/>
          <w:lang w:bidi="ar"/>
        </w:rPr>
        <w:t>初审</w:t>
      </w:r>
    </w:p>
    <w:p>
      <w:pPr>
        <w:pageBreakBefore w:val="0"/>
        <w:kinsoku/>
        <w:wordWrap/>
        <w:overflowPunct/>
        <w:topLinePunct w:val="0"/>
        <w:autoSpaceDE/>
        <w:autoSpaceDN/>
        <w:bidi w:val="0"/>
        <w:spacing w:line="520" w:lineRule="exact"/>
        <w:ind w:firstLine="480" w:firstLineChars="200"/>
        <w:textAlignment w:val="auto"/>
        <w:rPr>
          <w:rFonts w:ascii="宋体" w:hAnsi="宋体" w:cs="宋体"/>
          <w:color w:val="auto"/>
          <w:sz w:val="24"/>
          <w:szCs w:val="18"/>
          <w:highlight w:val="none"/>
          <w:lang w:bidi="ar"/>
        </w:rPr>
      </w:pPr>
      <w:r>
        <w:rPr>
          <w:rFonts w:hint="eastAsia" w:ascii="宋体" w:hAnsi="宋体" w:cs="宋体"/>
          <w:color w:val="auto"/>
          <w:sz w:val="24"/>
          <w:szCs w:val="18"/>
          <w:highlight w:val="none"/>
          <w:lang w:eastAsia="zh-CN" w:bidi="ar"/>
        </w:rPr>
        <w:t>比选</w:t>
      </w:r>
      <w:r>
        <w:rPr>
          <w:rFonts w:hint="eastAsia" w:ascii="宋体" w:hAnsi="宋体" w:cs="宋体"/>
          <w:color w:val="auto"/>
          <w:sz w:val="24"/>
          <w:szCs w:val="18"/>
          <w:highlight w:val="none"/>
          <w:lang w:bidi="ar"/>
        </w:rPr>
        <w:t>小组对供应商的响应文件进行初审，以确定其是否满足</w:t>
      </w:r>
      <w:r>
        <w:rPr>
          <w:rFonts w:hint="eastAsia" w:ascii="宋体" w:hAnsi="宋体" w:cs="宋体"/>
          <w:color w:val="auto"/>
          <w:sz w:val="24"/>
          <w:szCs w:val="18"/>
          <w:highlight w:val="none"/>
          <w:lang w:eastAsia="zh-CN" w:bidi="ar"/>
        </w:rPr>
        <w:t>比选</w:t>
      </w:r>
      <w:r>
        <w:rPr>
          <w:rFonts w:hint="eastAsia" w:ascii="宋体" w:hAnsi="宋体" w:cs="宋体"/>
          <w:color w:val="auto"/>
          <w:sz w:val="24"/>
          <w:szCs w:val="18"/>
          <w:highlight w:val="none"/>
          <w:lang w:bidi="ar"/>
        </w:rPr>
        <w:t>文件的实质性要求。初审表如下：</w:t>
      </w:r>
    </w:p>
    <w:tbl>
      <w:tblPr>
        <w:tblStyle w:val="58"/>
        <w:tblW w:w="4709" w:type="pct"/>
        <w:tblInd w:w="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8"/>
        <w:gridCol w:w="1720"/>
        <w:gridCol w:w="2463"/>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5000" w:type="pct"/>
            <w:gridSpan w:val="4"/>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b/>
                <w:color w:val="auto"/>
                <w:sz w:val="24"/>
                <w:highlight w:val="none"/>
              </w:rPr>
            </w:pPr>
            <w:r>
              <w:rPr>
                <w:rFonts w:hint="eastAsia" w:ascii="宋体" w:hAnsi="宋体"/>
                <w:b/>
                <w:color w:val="auto"/>
                <w:sz w:val="24"/>
                <w:highlight w:val="none"/>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457" w:type="pct"/>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r>
              <w:rPr>
                <w:rFonts w:hint="eastAsia" w:ascii="宋体" w:hAnsi="宋体"/>
                <w:color w:val="auto"/>
                <w:sz w:val="24"/>
                <w:highlight w:val="none"/>
              </w:rPr>
              <w:t>序号</w:t>
            </w:r>
          </w:p>
        </w:tc>
        <w:tc>
          <w:tcPr>
            <w:tcW w:w="927" w:type="pct"/>
            <w:tcBorders>
              <w:bottom w:val="single" w:color="auto" w:sz="4" w:space="0"/>
            </w:tcBorders>
            <w:vAlign w:val="center"/>
          </w:tcPr>
          <w:p>
            <w:pPr>
              <w:pStyle w:val="129"/>
              <w:pageBreakBefore w:val="0"/>
              <w:widowControl/>
              <w:pBdr>
                <w:bottom w:val="none" w:color="auto" w:sz="0" w:space="0"/>
              </w:pBdr>
              <w:tabs>
                <w:tab w:val="clear" w:pos="4153"/>
                <w:tab w:val="clear" w:pos="8306"/>
              </w:tabs>
              <w:kinsoku/>
              <w:wordWrap/>
              <w:overflowPunct/>
              <w:topLinePunct w:val="0"/>
              <w:autoSpaceDE/>
              <w:autoSpaceDN/>
              <w:bidi w:val="0"/>
              <w:adjustRightInd/>
              <w:spacing w:line="520" w:lineRule="exact"/>
              <w:textAlignment w:val="auto"/>
              <w:rPr>
                <w:rFonts w:ascii="宋体" w:hAnsi="宋体"/>
                <w:color w:val="auto"/>
                <w:kern w:val="2"/>
                <w:highlight w:val="none"/>
              </w:rPr>
            </w:pPr>
            <w:r>
              <w:rPr>
                <w:rFonts w:hint="eastAsia" w:ascii="宋体" w:hAnsi="宋体"/>
                <w:color w:val="auto"/>
                <w:kern w:val="2"/>
                <w:highlight w:val="none"/>
              </w:rPr>
              <w:t>评审指标</w:t>
            </w:r>
          </w:p>
        </w:tc>
        <w:tc>
          <w:tcPr>
            <w:tcW w:w="1328" w:type="pct"/>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r>
              <w:rPr>
                <w:rFonts w:hint="eastAsia" w:ascii="宋体" w:hAnsi="宋体"/>
                <w:color w:val="auto"/>
                <w:sz w:val="24"/>
                <w:highlight w:val="none"/>
              </w:rPr>
              <w:t>评审标准</w:t>
            </w:r>
          </w:p>
        </w:tc>
        <w:tc>
          <w:tcPr>
            <w:tcW w:w="2286" w:type="pct"/>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r>
              <w:rPr>
                <w:rFonts w:hint="eastAsia" w:ascii="宋体" w:hAnsi="宋体"/>
                <w:color w:val="auto"/>
                <w:sz w:val="24"/>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trPr>
        <w:tc>
          <w:tcPr>
            <w:tcW w:w="457" w:type="pct"/>
            <w:tcBorders>
              <w:bottom w:val="single" w:color="auto" w:sz="4" w:space="0"/>
            </w:tcBorders>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tcBorders>
              <w:bottom w:val="single" w:color="auto" w:sz="4" w:space="0"/>
            </w:tcBorders>
            <w:vAlign w:val="center"/>
          </w:tcPr>
          <w:p>
            <w:pPr>
              <w:pStyle w:val="129"/>
              <w:pageBreakBefore w:val="0"/>
              <w:widowControl/>
              <w:pBdr>
                <w:bottom w:val="none" w:color="auto" w:sz="0" w:space="0"/>
              </w:pBdr>
              <w:tabs>
                <w:tab w:val="clear" w:pos="4153"/>
                <w:tab w:val="clear" w:pos="8306"/>
              </w:tabs>
              <w:kinsoku/>
              <w:wordWrap/>
              <w:overflowPunct/>
              <w:topLinePunct w:val="0"/>
              <w:autoSpaceDE/>
              <w:autoSpaceDN/>
              <w:bidi w:val="0"/>
              <w:adjustRightInd/>
              <w:spacing w:line="520" w:lineRule="exact"/>
              <w:textAlignment w:val="auto"/>
              <w:rPr>
                <w:rFonts w:ascii="宋体" w:hAnsi="宋体"/>
                <w:color w:val="auto"/>
                <w:kern w:val="2"/>
                <w:highlight w:val="none"/>
              </w:rPr>
            </w:pPr>
            <w:r>
              <w:rPr>
                <w:rFonts w:hint="eastAsia" w:ascii="宋体" w:hAnsi="宋体"/>
                <w:color w:val="auto"/>
                <w:kern w:val="2"/>
                <w:highlight w:val="none"/>
              </w:rPr>
              <w:t>营业执照</w:t>
            </w:r>
          </w:p>
        </w:tc>
        <w:tc>
          <w:tcPr>
            <w:tcW w:w="1328" w:type="pct"/>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r>
              <w:rPr>
                <w:rFonts w:hint="eastAsia" w:ascii="宋体" w:hAnsi="宋体"/>
                <w:color w:val="auto"/>
                <w:sz w:val="24"/>
                <w:highlight w:val="none"/>
              </w:rPr>
              <w:t>合法有效</w:t>
            </w:r>
          </w:p>
        </w:tc>
        <w:tc>
          <w:tcPr>
            <w:tcW w:w="2286" w:type="pct"/>
            <w:vMerge w:val="restar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提供有效的供应商营业执照（或事业单位法人登记证书）和税务登记证的复印件或影印件，应完整的体现出营业执照（或事业单位法人登记证书）和税务登记证的全部内容。已办理</w:t>
            </w:r>
            <w:r>
              <w:rPr>
                <w:rFonts w:ascii="宋体" w:hAnsi="宋体"/>
                <w:color w:val="auto"/>
                <w:sz w:val="24"/>
                <w:highlight w:val="none"/>
              </w:rPr>
              <w:t>“</w:t>
            </w:r>
            <w:r>
              <w:rPr>
                <w:rFonts w:hint="eastAsia" w:ascii="宋体" w:hAnsi="宋体"/>
                <w:color w:val="auto"/>
                <w:sz w:val="24"/>
                <w:highlight w:val="none"/>
              </w:rPr>
              <w:t>三证合一</w:t>
            </w:r>
            <w:r>
              <w:rPr>
                <w:rFonts w:ascii="宋体" w:hAnsi="宋体"/>
                <w:color w:val="auto"/>
                <w:sz w:val="24"/>
                <w:highlight w:val="none"/>
              </w:rPr>
              <w:t>”</w:t>
            </w:r>
            <w:r>
              <w:rPr>
                <w:rFonts w:hint="eastAsia" w:ascii="宋体" w:hAnsi="宋体"/>
                <w:color w:val="auto"/>
                <w:sz w:val="24"/>
                <w:highlight w:val="none"/>
              </w:rPr>
              <w:t>登记的，响应文件中提供营业执照（或事业单位法人登记证书）复印件即可。联合体参加</w:t>
            </w:r>
            <w:r>
              <w:rPr>
                <w:rFonts w:hint="eastAsia" w:ascii="宋体" w:hAnsi="宋体"/>
                <w:color w:val="auto"/>
                <w:sz w:val="24"/>
                <w:highlight w:val="none"/>
                <w:lang w:eastAsia="zh-CN"/>
              </w:rPr>
              <w:t>比选</w:t>
            </w:r>
            <w:r>
              <w:rPr>
                <w:rFonts w:hint="eastAsia" w:ascii="宋体" w:hAnsi="宋体"/>
                <w:color w:val="auto"/>
                <w:sz w:val="24"/>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5" w:hRule="atLeast"/>
        </w:trPr>
        <w:tc>
          <w:tcPr>
            <w:tcW w:w="457" w:type="pct"/>
            <w:tcBorders>
              <w:bottom w:val="single" w:color="auto" w:sz="4" w:space="0"/>
            </w:tcBorders>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tcBorders>
              <w:bottom w:val="single" w:color="auto" w:sz="4" w:space="0"/>
            </w:tcBorders>
            <w:vAlign w:val="center"/>
          </w:tcPr>
          <w:p>
            <w:pPr>
              <w:pStyle w:val="129"/>
              <w:pageBreakBefore w:val="0"/>
              <w:widowControl/>
              <w:pBdr>
                <w:bottom w:val="none" w:color="auto" w:sz="0" w:space="0"/>
              </w:pBdr>
              <w:tabs>
                <w:tab w:val="clear" w:pos="4153"/>
                <w:tab w:val="clear" w:pos="8306"/>
              </w:tabs>
              <w:kinsoku/>
              <w:wordWrap/>
              <w:overflowPunct/>
              <w:topLinePunct w:val="0"/>
              <w:autoSpaceDE/>
              <w:autoSpaceDN/>
              <w:bidi w:val="0"/>
              <w:adjustRightInd/>
              <w:spacing w:line="520" w:lineRule="exact"/>
              <w:textAlignment w:val="auto"/>
              <w:rPr>
                <w:rFonts w:ascii="宋体" w:hAnsi="宋体"/>
                <w:color w:val="auto"/>
                <w:kern w:val="2"/>
                <w:highlight w:val="none"/>
              </w:rPr>
            </w:pPr>
            <w:r>
              <w:rPr>
                <w:rFonts w:hint="eastAsia" w:ascii="宋体" w:hAnsi="宋体"/>
                <w:color w:val="auto"/>
                <w:kern w:val="2"/>
                <w:highlight w:val="none"/>
              </w:rPr>
              <w:t>税务登记证</w:t>
            </w:r>
          </w:p>
        </w:tc>
        <w:tc>
          <w:tcPr>
            <w:tcW w:w="1328" w:type="pct"/>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r>
              <w:rPr>
                <w:rFonts w:hint="eastAsia" w:ascii="宋体" w:hAnsi="宋体"/>
                <w:color w:val="auto"/>
                <w:sz w:val="24"/>
                <w:highlight w:val="none"/>
              </w:rPr>
              <w:t>合法有效</w:t>
            </w:r>
          </w:p>
        </w:tc>
        <w:tc>
          <w:tcPr>
            <w:tcW w:w="2286" w:type="pct"/>
            <w:vMerge w:val="continue"/>
            <w:tcBorders>
              <w:bottom w:val="single" w:color="auto" w:sz="4" w:space="0"/>
            </w:tcBorders>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无重大违法记录申明函、无不良信用记录声明函</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格式、填写要求符合</w:t>
            </w:r>
            <w:r>
              <w:rPr>
                <w:rFonts w:hint="eastAsia" w:ascii="宋体" w:hAnsi="宋体"/>
                <w:color w:val="auto"/>
                <w:sz w:val="24"/>
                <w:highlight w:val="none"/>
                <w:lang w:eastAsia="zh-CN"/>
              </w:rPr>
              <w:t>比选</w:t>
            </w:r>
            <w:r>
              <w:rPr>
                <w:rFonts w:hint="eastAsia" w:ascii="宋体" w:hAnsi="宋体"/>
                <w:color w:val="auto"/>
                <w:sz w:val="24"/>
                <w:highlight w:val="none"/>
              </w:rPr>
              <w:t>文件规定并加盖供应商公章</w:t>
            </w:r>
          </w:p>
        </w:tc>
        <w:tc>
          <w:tcPr>
            <w:tcW w:w="2286" w:type="pc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详见第六章响应文件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响应函</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格式、填写要求符合</w:t>
            </w:r>
            <w:r>
              <w:rPr>
                <w:rFonts w:hint="eastAsia" w:ascii="宋体" w:hAnsi="宋体"/>
                <w:color w:val="auto"/>
                <w:sz w:val="24"/>
                <w:highlight w:val="none"/>
                <w:lang w:eastAsia="zh-CN"/>
              </w:rPr>
              <w:t>比选</w:t>
            </w:r>
            <w:r>
              <w:rPr>
                <w:rFonts w:hint="eastAsia" w:ascii="宋体" w:hAnsi="宋体"/>
                <w:color w:val="auto"/>
                <w:sz w:val="24"/>
                <w:highlight w:val="none"/>
              </w:rPr>
              <w:t>文件规定并加盖供应商公章</w:t>
            </w:r>
          </w:p>
        </w:tc>
        <w:tc>
          <w:tcPr>
            <w:tcW w:w="2286" w:type="pc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详见第六章响应文件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授权委托书</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格式、填写要求符合</w:t>
            </w:r>
            <w:r>
              <w:rPr>
                <w:rFonts w:hint="eastAsia" w:ascii="宋体" w:hAnsi="宋体"/>
                <w:color w:val="auto"/>
                <w:sz w:val="24"/>
                <w:highlight w:val="none"/>
                <w:lang w:eastAsia="zh-CN"/>
              </w:rPr>
              <w:t>比选</w:t>
            </w:r>
            <w:r>
              <w:rPr>
                <w:rFonts w:hint="eastAsia" w:ascii="宋体" w:hAnsi="宋体"/>
                <w:color w:val="auto"/>
                <w:sz w:val="24"/>
                <w:highlight w:val="none"/>
              </w:rPr>
              <w:t>文件规定并加盖供应商公章</w:t>
            </w:r>
          </w:p>
        </w:tc>
        <w:tc>
          <w:tcPr>
            <w:tcW w:w="2286" w:type="pc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法定代表人参加</w:t>
            </w:r>
            <w:r>
              <w:rPr>
                <w:rFonts w:hint="eastAsia" w:ascii="宋体" w:hAnsi="宋体"/>
                <w:color w:val="auto"/>
                <w:sz w:val="24"/>
                <w:highlight w:val="none"/>
                <w:lang w:eastAsia="zh-CN"/>
              </w:rPr>
              <w:t>比选</w:t>
            </w:r>
            <w:r>
              <w:rPr>
                <w:rFonts w:hint="eastAsia" w:ascii="宋体" w:hAnsi="宋体"/>
                <w:color w:val="auto"/>
                <w:sz w:val="24"/>
                <w:highlight w:val="none"/>
              </w:rPr>
              <w:t>的无需此件，提供身份证明即可。详见第六章响应文件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供应商资质</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符合供应商资格中的资质要求</w:t>
            </w:r>
          </w:p>
        </w:tc>
        <w:tc>
          <w:tcPr>
            <w:tcW w:w="2286" w:type="pc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提供符合供应商资格中要求的资质证书复印件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初审业绩</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符合供应商资格中</w:t>
            </w:r>
          </w:p>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的业绩要求</w:t>
            </w:r>
          </w:p>
        </w:tc>
        <w:tc>
          <w:tcPr>
            <w:tcW w:w="2286" w:type="pct"/>
            <w:vAlign w:val="center"/>
          </w:tcPr>
          <w:p>
            <w:pPr>
              <w:pageBreakBefore w:val="0"/>
              <w:widowControl/>
              <w:kinsoku/>
              <w:wordWrap/>
              <w:overflowPunct/>
              <w:topLinePunct w:val="0"/>
              <w:autoSpaceDE/>
              <w:autoSpaceDN/>
              <w:bidi w:val="0"/>
              <w:spacing w:line="520" w:lineRule="exact"/>
              <w:textAlignment w:val="auto"/>
              <w:rPr>
                <w:rFonts w:ascii="宋体" w:hAnsi="宋体"/>
                <w:color w:val="auto"/>
                <w:sz w:val="24"/>
                <w:highlight w:val="none"/>
              </w:rPr>
            </w:pPr>
            <w:r>
              <w:rPr>
                <w:rFonts w:hint="eastAsia" w:ascii="宋体" w:hAnsi="宋体"/>
                <w:color w:val="auto"/>
                <w:sz w:val="24"/>
                <w:highlight w:val="none"/>
              </w:rPr>
              <w:t>提供符合供应商资格中业绩要求的合同复印件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响应情况</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符合</w:t>
            </w:r>
            <w:r>
              <w:rPr>
                <w:rFonts w:hint="eastAsia" w:ascii="宋体" w:hAnsi="宋体"/>
                <w:color w:val="auto"/>
                <w:sz w:val="24"/>
                <w:highlight w:val="none"/>
                <w:lang w:eastAsia="zh-CN"/>
              </w:rPr>
              <w:t>比选</w:t>
            </w:r>
            <w:r>
              <w:rPr>
                <w:rFonts w:hint="eastAsia" w:ascii="宋体" w:hAnsi="宋体"/>
                <w:color w:val="auto"/>
                <w:sz w:val="24"/>
                <w:highlight w:val="none"/>
              </w:rPr>
              <w:t>文件采购需求中付款方式、服务期限、服务地点、采购需求等的要求</w:t>
            </w:r>
          </w:p>
        </w:tc>
        <w:tc>
          <w:tcPr>
            <w:tcW w:w="2286" w:type="pct"/>
            <w:vAlign w:val="center"/>
          </w:tcPr>
          <w:p>
            <w:pPr>
              <w:pageBreakBefore w:val="0"/>
              <w:widowControl/>
              <w:kinsoku/>
              <w:wordWrap/>
              <w:overflowPunct/>
              <w:topLinePunct w:val="0"/>
              <w:autoSpaceDE/>
              <w:autoSpaceDN/>
              <w:bidi w:val="0"/>
              <w:spacing w:line="520" w:lineRule="exact"/>
              <w:jc w:val="left"/>
              <w:textAlignment w:val="auto"/>
              <w:rPr>
                <w:rFonts w:ascii="宋体" w:hAnsi="宋体"/>
                <w:color w:val="auto"/>
                <w:sz w:val="24"/>
                <w:highlight w:val="none"/>
              </w:rPr>
            </w:pPr>
            <w:r>
              <w:rPr>
                <w:rFonts w:hint="eastAsia" w:ascii="宋体" w:hAnsi="宋体"/>
                <w:color w:val="auto"/>
                <w:sz w:val="24"/>
                <w:highlight w:val="none"/>
              </w:rPr>
              <w:t>详见第六章响应文件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57" w:type="pct"/>
            <w:vAlign w:val="center"/>
          </w:tcPr>
          <w:p>
            <w:pPr>
              <w:pageBreakBefore w:val="0"/>
              <w:widowControl/>
              <w:numPr>
                <w:ilvl w:val="0"/>
                <w:numId w:val="4"/>
              </w:numPr>
              <w:kinsoku/>
              <w:wordWrap/>
              <w:overflowPunct/>
              <w:topLinePunct w:val="0"/>
              <w:autoSpaceDE/>
              <w:autoSpaceDN/>
              <w:bidi w:val="0"/>
              <w:spacing w:line="520" w:lineRule="exact"/>
              <w:jc w:val="center"/>
              <w:textAlignment w:val="auto"/>
              <w:rPr>
                <w:rFonts w:ascii="宋体" w:hAnsi="宋体"/>
                <w:color w:val="auto"/>
                <w:sz w:val="24"/>
                <w:highlight w:val="none"/>
              </w:rPr>
            </w:pPr>
          </w:p>
        </w:tc>
        <w:tc>
          <w:tcPr>
            <w:tcW w:w="927"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其他要求</w:t>
            </w:r>
          </w:p>
        </w:tc>
        <w:tc>
          <w:tcPr>
            <w:tcW w:w="1328" w:type="pct"/>
            <w:vAlign w:val="center"/>
          </w:tcPr>
          <w:p>
            <w:pPr>
              <w:pageBreakBefore w:val="0"/>
              <w:widowControl/>
              <w:kinsoku/>
              <w:wordWrap/>
              <w:overflowPunct/>
              <w:topLinePunct w:val="0"/>
              <w:autoSpaceDE/>
              <w:autoSpaceDN/>
              <w:bidi w:val="0"/>
              <w:spacing w:after="50" w:line="520" w:lineRule="exact"/>
              <w:jc w:val="center"/>
              <w:textAlignment w:val="auto"/>
              <w:rPr>
                <w:rFonts w:ascii="宋体" w:hAnsi="宋体"/>
                <w:color w:val="auto"/>
                <w:sz w:val="24"/>
                <w:highlight w:val="none"/>
              </w:rPr>
            </w:pPr>
            <w:r>
              <w:rPr>
                <w:rFonts w:hint="eastAsia" w:ascii="宋体" w:hAnsi="宋体"/>
                <w:color w:val="auto"/>
                <w:sz w:val="24"/>
                <w:highlight w:val="none"/>
              </w:rPr>
              <w:t>符合法律、行政法规规定的其他条件或</w:t>
            </w:r>
            <w:r>
              <w:rPr>
                <w:rFonts w:hint="eastAsia" w:ascii="宋体" w:hAnsi="宋体"/>
                <w:color w:val="auto"/>
                <w:sz w:val="24"/>
                <w:highlight w:val="none"/>
                <w:lang w:eastAsia="zh-CN"/>
              </w:rPr>
              <w:t>比选</w:t>
            </w:r>
            <w:r>
              <w:rPr>
                <w:rFonts w:hint="eastAsia" w:ascii="宋体" w:hAnsi="宋体"/>
                <w:color w:val="auto"/>
                <w:sz w:val="24"/>
                <w:highlight w:val="none"/>
              </w:rPr>
              <w:t>文件列明的其他要求</w:t>
            </w:r>
          </w:p>
        </w:tc>
        <w:tc>
          <w:tcPr>
            <w:tcW w:w="2286" w:type="pct"/>
            <w:vAlign w:val="center"/>
          </w:tcPr>
          <w:p>
            <w:pPr>
              <w:pageBreakBefore w:val="0"/>
              <w:widowControl/>
              <w:kinsoku/>
              <w:wordWrap/>
              <w:overflowPunct/>
              <w:topLinePunct w:val="0"/>
              <w:autoSpaceDE/>
              <w:autoSpaceDN/>
              <w:bidi w:val="0"/>
              <w:spacing w:line="520" w:lineRule="exact"/>
              <w:jc w:val="center"/>
              <w:textAlignment w:val="auto"/>
              <w:rPr>
                <w:rFonts w:ascii="宋体" w:hAnsi="宋体"/>
                <w:color w:val="auto"/>
                <w:sz w:val="24"/>
                <w:highlight w:val="none"/>
              </w:rPr>
            </w:pPr>
          </w:p>
        </w:tc>
      </w:tr>
    </w:tbl>
    <w:p>
      <w:pPr>
        <w:pageBreakBefore w:val="0"/>
        <w:kinsoku/>
        <w:wordWrap/>
        <w:overflowPunct/>
        <w:topLinePunct w:val="0"/>
        <w:autoSpaceDE/>
        <w:autoSpaceDN/>
        <w:bidi w:val="0"/>
        <w:spacing w:line="520" w:lineRule="exact"/>
        <w:ind w:firstLine="482" w:firstLineChars="200"/>
        <w:textAlignment w:val="auto"/>
        <w:rPr>
          <w:rFonts w:ascii="宋体" w:hAnsi="宋体" w:cs="宋体"/>
          <w:color w:val="auto"/>
          <w:sz w:val="24"/>
          <w:szCs w:val="18"/>
          <w:highlight w:val="none"/>
          <w:lang w:bidi="ar"/>
        </w:rPr>
      </w:pPr>
      <w:r>
        <w:rPr>
          <w:rFonts w:hint="eastAsia" w:ascii="宋体" w:hAnsi="宋体" w:cs="宋体"/>
          <w:b/>
          <w:color w:val="auto"/>
          <w:sz w:val="24"/>
          <w:szCs w:val="18"/>
          <w:highlight w:val="none"/>
          <w:lang w:bidi="ar"/>
        </w:rPr>
        <w:t>注：</w:t>
      </w:r>
      <w:r>
        <w:rPr>
          <w:rFonts w:hint="eastAsia" w:ascii="宋体" w:hAnsi="宋体" w:cs="宋体"/>
          <w:color w:val="auto"/>
          <w:sz w:val="24"/>
          <w:szCs w:val="18"/>
          <w:highlight w:val="none"/>
          <w:lang w:bidi="ar"/>
        </w:rPr>
        <w:t>证明材料在响应文件中必须有复印件，内容及图章应清晰。证明材料提供不完整的，不满足</w:t>
      </w:r>
      <w:r>
        <w:rPr>
          <w:rFonts w:hint="eastAsia" w:ascii="宋体" w:hAnsi="宋体" w:cs="宋体"/>
          <w:color w:val="auto"/>
          <w:sz w:val="24"/>
          <w:szCs w:val="18"/>
          <w:highlight w:val="none"/>
          <w:lang w:eastAsia="zh-CN" w:bidi="ar"/>
        </w:rPr>
        <w:t>比选</w:t>
      </w:r>
      <w:r>
        <w:rPr>
          <w:rFonts w:hint="eastAsia" w:ascii="宋体" w:hAnsi="宋体" w:cs="宋体"/>
          <w:color w:val="auto"/>
          <w:sz w:val="24"/>
          <w:szCs w:val="18"/>
          <w:highlight w:val="none"/>
          <w:lang w:bidi="ar"/>
        </w:rPr>
        <w:t>文件要求的，响应文件中无证明材料复印件的，均视为初审不合格，不进入综合评分阶段。</w:t>
      </w:r>
    </w:p>
    <w:p>
      <w:pPr>
        <w:pageBreakBefore w:val="0"/>
        <w:kinsoku/>
        <w:wordWrap/>
        <w:overflowPunct/>
        <w:topLinePunct w:val="0"/>
        <w:autoSpaceDE/>
        <w:autoSpaceDN/>
        <w:bidi w:val="0"/>
        <w:spacing w:line="520" w:lineRule="exact"/>
        <w:ind w:firstLine="482" w:firstLineChars="200"/>
        <w:textAlignment w:val="auto"/>
        <w:rPr>
          <w:rFonts w:ascii="宋体" w:hAnsi="宋体" w:cs="宋体"/>
          <w:color w:val="auto"/>
          <w:sz w:val="24"/>
          <w:szCs w:val="18"/>
          <w:highlight w:val="none"/>
          <w:lang w:bidi="ar"/>
        </w:rPr>
      </w:pPr>
      <w:r>
        <w:rPr>
          <w:rFonts w:hint="eastAsia" w:ascii="宋体" w:hAnsi="宋体" w:cs="宋体"/>
          <w:b/>
          <w:color w:val="auto"/>
          <w:sz w:val="24"/>
          <w:szCs w:val="18"/>
          <w:highlight w:val="none"/>
          <w:lang w:bidi="ar"/>
        </w:rPr>
        <w:t>初审指标通过标准：</w:t>
      </w:r>
      <w:r>
        <w:rPr>
          <w:rFonts w:hint="eastAsia" w:ascii="宋体" w:hAnsi="宋体" w:cs="宋体"/>
          <w:color w:val="auto"/>
          <w:sz w:val="24"/>
          <w:szCs w:val="18"/>
          <w:highlight w:val="none"/>
          <w:lang w:bidi="ar"/>
        </w:rPr>
        <w:t>供应商必须通过初审表中的全部评审指标。</w:t>
      </w:r>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bidi="ar"/>
        </w:rPr>
      </w:pPr>
      <w:r>
        <w:rPr>
          <w:rFonts w:ascii="宋体" w:hAnsi="宋体" w:cs="宋体"/>
          <w:b/>
          <w:color w:val="auto"/>
          <w:sz w:val="24"/>
          <w:szCs w:val="18"/>
          <w:highlight w:val="none"/>
          <w:lang w:bidi="ar"/>
        </w:rPr>
        <w:t>2.2</w:t>
      </w:r>
      <w:r>
        <w:rPr>
          <w:rFonts w:hint="eastAsia" w:ascii="宋体" w:hAnsi="宋体" w:cs="宋体"/>
          <w:b/>
          <w:color w:val="auto"/>
          <w:sz w:val="24"/>
          <w:szCs w:val="18"/>
          <w:highlight w:val="none"/>
          <w:lang w:bidi="ar"/>
        </w:rPr>
        <w:t>综合评分</w:t>
      </w:r>
    </w:p>
    <w:p>
      <w:pPr>
        <w:pageBreakBefore w:val="0"/>
        <w:kinsoku/>
        <w:wordWrap/>
        <w:overflowPunct/>
        <w:topLinePunct w:val="0"/>
        <w:autoSpaceDE/>
        <w:autoSpaceDN/>
        <w:bidi w:val="0"/>
        <w:spacing w:line="520" w:lineRule="exact"/>
        <w:ind w:firstLine="480" w:firstLineChars="200"/>
        <w:textAlignment w:val="auto"/>
        <w:rPr>
          <w:rFonts w:ascii="宋体" w:hAnsi="宋体" w:cs="宋体"/>
          <w:color w:val="auto"/>
          <w:sz w:val="24"/>
          <w:szCs w:val="18"/>
          <w:highlight w:val="none"/>
          <w:lang w:bidi="ar"/>
        </w:rPr>
      </w:pPr>
      <w:r>
        <w:rPr>
          <w:rFonts w:ascii="宋体" w:hAnsi="宋体" w:cs="宋体"/>
          <w:color w:val="auto"/>
          <w:sz w:val="24"/>
          <w:szCs w:val="18"/>
          <w:highlight w:val="none"/>
          <w:lang w:bidi="ar"/>
        </w:rPr>
        <w:t>2.2.1</w:t>
      </w:r>
      <w:r>
        <w:rPr>
          <w:rFonts w:hint="eastAsia" w:ascii="宋体" w:hAnsi="宋体" w:cs="宋体"/>
          <w:color w:val="auto"/>
          <w:sz w:val="24"/>
          <w:szCs w:val="18"/>
          <w:highlight w:val="none"/>
          <w:lang w:eastAsia="zh-CN" w:bidi="ar"/>
        </w:rPr>
        <w:t>比选</w:t>
      </w:r>
      <w:r>
        <w:rPr>
          <w:rFonts w:hint="eastAsia" w:ascii="宋体" w:hAnsi="宋体" w:cs="宋体"/>
          <w:color w:val="auto"/>
          <w:sz w:val="24"/>
          <w:szCs w:val="18"/>
          <w:highlight w:val="none"/>
          <w:lang w:bidi="ar"/>
        </w:rPr>
        <w:t>小组按照下表对进入综合评分的所有供应商的响应文件进行综合评分。</w:t>
      </w:r>
    </w:p>
    <w:p>
      <w:pPr>
        <w:pageBreakBefore w:val="0"/>
        <w:kinsoku/>
        <w:wordWrap/>
        <w:overflowPunct/>
        <w:topLinePunct w:val="0"/>
        <w:autoSpaceDE/>
        <w:autoSpaceDN/>
        <w:bidi w:val="0"/>
        <w:spacing w:line="520" w:lineRule="exact"/>
        <w:ind w:firstLine="480" w:firstLineChars="200"/>
        <w:textAlignment w:val="auto"/>
        <w:rPr>
          <w:rFonts w:hint="eastAsia" w:ascii="宋体" w:hAnsi="宋体" w:cs="宋体"/>
          <w:color w:val="auto"/>
          <w:sz w:val="24"/>
          <w:szCs w:val="18"/>
          <w:highlight w:val="none"/>
          <w:lang w:bidi="ar"/>
        </w:rPr>
      </w:pPr>
      <w:r>
        <w:rPr>
          <w:rFonts w:ascii="宋体" w:hAnsi="宋体" w:cs="宋体"/>
          <w:color w:val="auto"/>
          <w:sz w:val="24"/>
          <w:szCs w:val="18"/>
          <w:highlight w:val="none"/>
          <w:lang w:bidi="ar"/>
        </w:rPr>
        <w:t>2.2.2</w:t>
      </w:r>
      <w:r>
        <w:rPr>
          <w:rFonts w:hint="eastAsia" w:ascii="宋体" w:hAnsi="宋体" w:cs="宋体"/>
          <w:color w:val="auto"/>
          <w:sz w:val="24"/>
          <w:szCs w:val="18"/>
          <w:highlight w:val="none"/>
          <w:lang w:bidi="ar"/>
        </w:rPr>
        <w:t>本项目综合评分满分为</w:t>
      </w:r>
      <w:r>
        <w:rPr>
          <w:rFonts w:ascii="宋体" w:hAnsi="宋体" w:cs="宋体"/>
          <w:color w:val="auto"/>
          <w:sz w:val="24"/>
          <w:szCs w:val="18"/>
          <w:highlight w:val="none"/>
          <w:lang w:bidi="ar"/>
        </w:rPr>
        <w:t>100</w:t>
      </w:r>
      <w:r>
        <w:rPr>
          <w:rFonts w:hint="eastAsia" w:ascii="宋体" w:hAnsi="宋体" w:cs="宋体"/>
          <w:color w:val="auto"/>
          <w:sz w:val="24"/>
          <w:szCs w:val="18"/>
          <w:highlight w:val="none"/>
          <w:lang w:bidi="ar"/>
        </w:rPr>
        <w:t>分，其中：技术资信分值占总分值的权重为</w:t>
      </w:r>
      <w:r>
        <w:rPr>
          <w:rFonts w:hint="eastAsia" w:ascii="宋体" w:hAnsi="宋体" w:cs="宋体"/>
          <w:b/>
          <w:color w:val="auto"/>
          <w:sz w:val="24"/>
          <w:szCs w:val="18"/>
          <w:highlight w:val="none"/>
          <w:u w:val="single"/>
          <w:lang w:bidi="ar"/>
        </w:rPr>
        <w:t xml:space="preserve"> 90 </w:t>
      </w:r>
      <w:r>
        <w:rPr>
          <w:rFonts w:ascii="宋体" w:hAnsi="宋体" w:cs="宋体"/>
          <w:color w:val="auto"/>
          <w:sz w:val="24"/>
          <w:szCs w:val="18"/>
          <w:highlight w:val="none"/>
          <w:lang w:bidi="ar"/>
        </w:rPr>
        <w:t>%</w:t>
      </w:r>
      <w:r>
        <w:rPr>
          <w:rFonts w:hint="eastAsia" w:ascii="宋体" w:hAnsi="宋体" w:cs="宋体"/>
          <w:color w:val="auto"/>
          <w:sz w:val="24"/>
          <w:szCs w:val="18"/>
          <w:highlight w:val="none"/>
          <w:lang w:bidi="ar"/>
        </w:rPr>
        <w:t>，报价分值占总分值的权重为</w:t>
      </w:r>
      <w:r>
        <w:rPr>
          <w:rFonts w:hint="eastAsia" w:ascii="宋体" w:hAnsi="宋体" w:cs="宋体"/>
          <w:color w:val="auto"/>
          <w:sz w:val="24"/>
          <w:szCs w:val="18"/>
          <w:highlight w:val="none"/>
          <w:u w:val="single"/>
          <w:lang w:bidi="ar"/>
        </w:rPr>
        <w:t xml:space="preserve"> </w:t>
      </w:r>
      <w:r>
        <w:rPr>
          <w:rFonts w:hint="eastAsia" w:ascii="宋体" w:hAnsi="宋体" w:cs="宋体"/>
          <w:b/>
          <w:bCs/>
          <w:color w:val="auto"/>
          <w:sz w:val="24"/>
          <w:szCs w:val="18"/>
          <w:highlight w:val="none"/>
          <w:u w:val="single"/>
          <w:lang w:bidi="ar"/>
        </w:rPr>
        <w:t>10 %</w:t>
      </w:r>
      <w:r>
        <w:rPr>
          <w:rFonts w:hint="eastAsia" w:ascii="宋体" w:hAnsi="宋体" w:cs="宋体"/>
          <w:color w:val="auto"/>
          <w:sz w:val="24"/>
          <w:szCs w:val="18"/>
          <w:highlight w:val="none"/>
          <w:lang w:bidi="ar"/>
        </w:rPr>
        <w:t>具体评分细则如下：</w:t>
      </w:r>
    </w:p>
    <w:tbl>
      <w:tblPr>
        <w:tblStyle w:val="58"/>
        <w:tblW w:w="48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3"/>
        <w:gridCol w:w="1051"/>
        <w:gridCol w:w="6412"/>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bCs/>
                <w:sz w:val="24"/>
                <w:u w:val="none"/>
              </w:rPr>
              <w:t>类别</w:t>
            </w: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bCs/>
                <w:sz w:val="24"/>
                <w:u w:val="none"/>
              </w:rPr>
              <w:t>评分内容</w:t>
            </w:r>
          </w:p>
        </w:tc>
        <w:tc>
          <w:tcPr>
            <w:tcW w:w="3348"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bCs/>
                <w:sz w:val="24"/>
                <w:u w:val="none"/>
              </w:rPr>
              <w:t>评分标准</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bCs/>
                <w:sz w:val="24"/>
                <w:u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restart"/>
            <w:tcBorders>
              <w:top w:val="single" w:color="auto" w:sz="4" w:space="0"/>
              <w:left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sz w:val="24"/>
                <w:u w:val="none"/>
                <w:lang w:bidi="ar"/>
              </w:rPr>
              <w:t>技术资信</w:t>
            </w:r>
            <w:r>
              <w:rPr>
                <w:rFonts w:hint="eastAsia" w:ascii="宋体" w:hAnsi="宋体" w:cs="宋体"/>
                <w:bCs/>
                <w:sz w:val="24"/>
                <w:u w:val="none"/>
              </w:rPr>
              <w:t>分</w:t>
            </w: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服务整体方案</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u w:val="none"/>
              </w:rPr>
            </w:pPr>
            <w:r>
              <w:rPr>
                <w:rFonts w:hint="eastAsia" w:ascii="宋体" w:hAnsi="宋体" w:cs="宋体"/>
                <w:b/>
                <w:bCs/>
                <w:sz w:val="24"/>
                <w:u w:val="none"/>
              </w:rPr>
              <w:t>1.服务整体方案（包括但不限于委托全流程的采购咨询服务、采购需求的审核完善与采购文件的编制、组织踏勘现场、质疑与答疑、处理或协调处理投诉、合同备案等方面）内容详实，符合法律规定，保障措施科学合理、有针对性，人员分工明确，工作流程完善，由比选小组根据上述情况进行综合评分：</w:t>
            </w:r>
          </w:p>
          <w:p>
            <w:pPr>
              <w:rPr>
                <w:rFonts w:ascii="宋体" w:hAnsi="宋体" w:cs="宋体"/>
                <w:sz w:val="24"/>
                <w:u w:val="none"/>
              </w:rPr>
            </w:pPr>
            <w:r>
              <w:rPr>
                <w:rFonts w:hint="eastAsia" w:ascii="宋体" w:hAnsi="宋体" w:cs="宋体"/>
                <w:sz w:val="24"/>
                <w:u w:val="none"/>
              </w:rPr>
              <w:t>（1）内容完整全面，方案详实的得3分；</w:t>
            </w:r>
          </w:p>
          <w:p>
            <w:pPr>
              <w:rPr>
                <w:rFonts w:ascii="宋体" w:hAnsi="宋体" w:cs="宋体"/>
                <w:sz w:val="24"/>
                <w:u w:val="none"/>
              </w:rPr>
            </w:pPr>
            <w:r>
              <w:rPr>
                <w:rFonts w:hint="eastAsia" w:ascii="宋体" w:hAnsi="宋体" w:cs="宋体"/>
                <w:sz w:val="24"/>
                <w:u w:val="none"/>
              </w:rPr>
              <w:t>（2）内容基本涉及，但深度不够的得2分；</w:t>
            </w:r>
          </w:p>
          <w:p>
            <w:pPr>
              <w:rPr>
                <w:rFonts w:ascii="宋体" w:hAnsi="宋体" w:cs="宋体"/>
                <w:sz w:val="24"/>
                <w:u w:val="none"/>
              </w:rPr>
            </w:pPr>
            <w:r>
              <w:rPr>
                <w:rFonts w:hint="eastAsia" w:ascii="宋体" w:hAnsi="宋体" w:cs="宋体"/>
                <w:sz w:val="24"/>
                <w:u w:val="none"/>
              </w:rPr>
              <w:t>（3）内容片面，漏项较多，不容易识别的得1分。</w:t>
            </w:r>
          </w:p>
          <w:p>
            <w:pPr>
              <w:rPr>
                <w:rFonts w:ascii="宋体" w:hAnsi="宋体" w:cs="宋体"/>
                <w:sz w:val="24"/>
                <w:u w:val="none"/>
              </w:rPr>
            </w:pPr>
            <w:r>
              <w:rPr>
                <w:rFonts w:hint="eastAsia" w:ascii="宋体" w:hAnsi="宋体" w:cs="宋体"/>
                <w:sz w:val="24"/>
                <w:u w:val="none"/>
              </w:rPr>
              <w:t>不提供的不得分。</w:t>
            </w:r>
          </w:p>
          <w:p>
            <w:pPr>
              <w:rPr>
                <w:rFonts w:ascii="宋体" w:hAnsi="宋体" w:cs="宋体"/>
                <w:b/>
                <w:bCs/>
                <w:sz w:val="24"/>
                <w:u w:val="none"/>
              </w:rPr>
            </w:pPr>
            <w:r>
              <w:rPr>
                <w:rFonts w:hint="eastAsia" w:ascii="宋体" w:hAnsi="宋体" w:cs="宋体"/>
                <w:b/>
                <w:bCs/>
                <w:sz w:val="24"/>
                <w:u w:val="none"/>
              </w:rPr>
              <w:t>2.加强服务质量、提高服务满意度、规范执业、廉洁制度建设等内部管理措施方案；对如何保证采购文件编制质量和开评标现场的合规性，有具体应对措施和解决办法，有两级(或以上)内部审核机制和风险预判机制及问题处理措施；由比选小组根据上述情况进行综合评分：</w:t>
            </w:r>
          </w:p>
          <w:p>
            <w:pPr>
              <w:rPr>
                <w:rFonts w:ascii="宋体" w:hAnsi="宋体" w:cs="宋体"/>
                <w:sz w:val="24"/>
                <w:u w:val="none"/>
              </w:rPr>
            </w:pPr>
            <w:r>
              <w:rPr>
                <w:rFonts w:hint="eastAsia" w:ascii="宋体" w:hAnsi="宋体" w:cs="宋体"/>
                <w:sz w:val="24"/>
                <w:u w:val="none"/>
              </w:rPr>
              <w:t>（1）内容完整全面，方案详实的得3分；</w:t>
            </w:r>
          </w:p>
          <w:p>
            <w:pPr>
              <w:rPr>
                <w:rFonts w:ascii="宋体" w:hAnsi="宋体" w:cs="宋体"/>
                <w:sz w:val="24"/>
                <w:u w:val="none"/>
              </w:rPr>
            </w:pPr>
            <w:r>
              <w:rPr>
                <w:rFonts w:hint="eastAsia" w:ascii="宋体" w:hAnsi="宋体" w:cs="宋体"/>
                <w:sz w:val="24"/>
                <w:u w:val="none"/>
              </w:rPr>
              <w:t>（2）内容基本涉及，但深度不够的得2分；</w:t>
            </w:r>
          </w:p>
          <w:p>
            <w:pPr>
              <w:rPr>
                <w:rFonts w:ascii="宋体" w:hAnsi="宋体" w:cs="宋体"/>
                <w:sz w:val="24"/>
                <w:u w:val="none"/>
              </w:rPr>
            </w:pPr>
            <w:r>
              <w:rPr>
                <w:rFonts w:hint="eastAsia" w:ascii="宋体" w:hAnsi="宋体" w:cs="宋体"/>
                <w:sz w:val="24"/>
                <w:u w:val="none"/>
              </w:rPr>
              <w:t>（3）内容片面，漏项较多，不容易识别的得1分。</w:t>
            </w:r>
          </w:p>
          <w:p>
            <w:pPr>
              <w:rPr>
                <w:rFonts w:ascii="宋体" w:hAnsi="宋体" w:cs="宋体"/>
                <w:sz w:val="24"/>
                <w:u w:val="none"/>
              </w:rPr>
            </w:pPr>
            <w:r>
              <w:rPr>
                <w:rFonts w:hint="eastAsia" w:ascii="宋体" w:hAnsi="宋体" w:cs="宋体"/>
                <w:sz w:val="24"/>
                <w:u w:val="none"/>
              </w:rPr>
              <w:t>不提供的不得分。</w:t>
            </w:r>
          </w:p>
          <w:p>
            <w:pPr>
              <w:rPr>
                <w:rFonts w:ascii="宋体" w:hAnsi="宋体" w:cs="宋体"/>
                <w:b/>
                <w:bCs/>
                <w:sz w:val="24"/>
                <w:u w:val="none"/>
              </w:rPr>
            </w:pPr>
            <w:r>
              <w:rPr>
                <w:rFonts w:hint="eastAsia" w:ascii="宋体" w:hAnsi="宋体" w:cs="宋体"/>
                <w:b/>
                <w:bCs/>
                <w:sz w:val="24"/>
                <w:u w:val="none"/>
              </w:rPr>
              <w:t>3.根据自身企业优势，承诺提供增值服务，由比选小组根据上述情况进行综合评分：</w:t>
            </w:r>
          </w:p>
          <w:p>
            <w:pPr>
              <w:rPr>
                <w:rFonts w:ascii="宋体" w:hAnsi="宋体" w:cs="宋体"/>
                <w:sz w:val="24"/>
                <w:u w:val="none"/>
              </w:rPr>
            </w:pPr>
            <w:r>
              <w:rPr>
                <w:rFonts w:hint="eastAsia" w:ascii="宋体" w:hAnsi="宋体" w:cs="宋体"/>
                <w:sz w:val="24"/>
                <w:u w:val="none"/>
              </w:rPr>
              <w:t>（1）内容完整全面，方案详实的得3分；</w:t>
            </w:r>
          </w:p>
          <w:p>
            <w:pPr>
              <w:rPr>
                <w:rFonts w:ascii="宋体" w:hAnsi="宋体" w:cs="宋体"/>
                <w:sz w:val="24"/>
                <w:u w:val="none"/>
              </w:rPr>
            </w:pPr>
            <w:r>
              <w:rPr>
                <w:rFonts w:hint="eastAsia" w:ascii="宋体" w:hAnsi="宋体" w:cs="宋体"/>
                <w:sz w:val="24"/>
                <w:u w:val="none"/>
              </w:rPr>
              <w:t>（2）内容基本涉及，但深度不够的得2分；</w:t>
            </w:r>
          </w:p>
          <w:p>
            <w:pPr>
              <w:rPr>
                <w:rFonts w:ascii="宋体" w:hAnsi="宋体" w:cs="宋体"/>
                <w:sz w:val="24"/>
                <w:u w:val="none"/>
              </w:rPr>
            </w:pPr>
            <w:r>
              <w:rPr>
                <w:rFonts w:hint="eastAsia" w:ascii="宋体" w:hAnsi="宋体" w:cs="宋体"/>
                <w:sz w:val="24"/>
                <w:u w:val="none"/>
              </w:rPr>
              <w:t>（3）内容片面，漏项较多，不容易识别的得1分。</w:t>
            </w:r>
          </w:p>
          <w:p>
            <w:pPr>
              <w:rPr>
                <w:rFonts w:ascii="宋体" w:hAnsi="宋体" w:cs="宋体"/>
                <w:sz w:val="24"/>
                <w:u w:val="none"/>
              </w:rPr>
            </w:pPr>
            <w:r>
              <w:rPr>
                <w:rFonts w:hint="eastAsia" w:ascii="宋体" w:hAnsi="宋体" w:cs="宋体"/>
                <w:sz w:val="24"/>
                <w:u w:val="none"/>
              </w:rPr>
              <w:t>不提供的不得分。</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软、硬件条件保障</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u w:val="none"/>
              </w:rPr>
            </w:pPr>
            <w:r>
              <w:rPr>
                <w:rFonts w:hint="eastAsia" w:ascii="宋体" w:hAnsi="宋体" w:cs="宋体"/>
                <w:b/>
                <w:bCs/>
                <w:sz w:val="24"/>
                <w:u w:val="none"/>
              </w:rPr>
              <w:t>1.投标人软件实力</w:t>
            </w:r>
          </w:p>
          <w:p>
            <w:pPr>
              <w:rPr>
                <w:rFonts w:ascii="宋体" w:hAnsi="宋体" w:cs="宋体"/>
                <w:sz w:val="24"/>
                <w:u w:val="none"/>
              </w:rPr>
            </w:pPr>
            <w:r>
              <w:rPr>
                <w:rFonts w:hint="eastAsia" w:ascii="宋体" w:hAnsi="宋体" w:cs="宋体"/>
                <w:sz w:val="24"/>
                <w:u w:val="none"/>
              </w:rPr>
              <w:t>（1）投标人具有自行开发的招标采购电子交易平台且获得“三星”及以上产品认证证书的得5分，须同时提供软件著作权证书复印件和认证证书复印件作为证明材料，软件著作权人须为投标人或下属子公司，否则不得分。</w:t>
            </w:r>
          </w:p>
          <w:p>
            <w:pPr>
              <w:rPr>
                <w:rFonts w:ascii="宋体" w:hAnsi="宋体" w:cs="宋体"/>
                <w:sz w:val="24"/>
                <w:u w:val="none"/>
              </w:rPr>
            </w:pPr>
            <w:r>
              <w:rPr>
                <w:rFonts w:hint="eastAsia" w:ascii="宋体" w:hAnsi="宋体" w:cs="宋体"/>
                <w:sz w:val="24"/>
                <w:u w:val="none"/>
              </w:rPr>
              <w:t>（2）成交人具有自有专家抽取系统并取得软件著作权登记证书的，得3分，满分3分。提供系统截屏及证书复印件，并加盖单位公章；</w:t>
            </w:r>
          </w:p>
          <w:p>
            <w:pPr>
              <w:rPr>
                <w:rFonts w:ascii="宋体" w:hAnsi="宋体" w:cs="宋体"/>
                <w:sz w:val="24"/>
                <w:u w:val="none"/>
              </w:rPr>
            </w:pPr>
            <w:r>
              <w:rPr>
                <w:rFonts w:hint="eastAsia" w:ascii="宋体" w:hAnsi="宋体" w:cs="宋体"/>
                <w:sz w:val="24"/>
                <w:u w:val="none"/>
              </w:rPr>
              <w:t>（3）承诺同意采购方使用系统（无费用），且可定制功能的，得2分，满分2分。</w:t>
            </w:r>
          </w:p>
          <w:p>
            <w:pPr>
              <w:rPr>
                <w:rFonts w:ascii="宋体" w:hAnsi="宋体" w:cs="宋体"/>
                <w:sz w:val="24"/>
                <w:u w:val="none"/>
              </w:rPr>
            </w:pPr>
            <w:r>
              <w:rPr>
                <w:rFonts w:hint="eastAsia" w:ascii="宋体" w:hAnsi="宋体" w:cs="宋体"/>
                <w:sz w:val="24"/>
                <w:u w:val="none"/>
              </w:rPr>
              <w:t>注：上述软件平台须投标人自有或其直接相关子公司开发均认可（子公司须附公司关联性证明文件）。</w:t>
            </w:r>
          </w:p>
          <w:p>
            <w:pPr>
              <w:rPr>
                <w:rFonts w:hint="eastAsia" w:ascii="宋体" w:hAnsi="宋体" w:cs="宋体"/>
                <w:b/>
                <w:bCs/>
                <w:sz w:val="24"/>
                <w:u w:val="none"/>
              </w:rPr>
            </w:pPr>
            <w:r>
              <w:rPr>
                <w:rFonts w:hint="eastAsia" w:ascii="宋体" w:hAnsi="宋体" w:cs="宋体"/>
                <w:b/>
                <w:bCs/>
                <w:sz w:val="24"/>
                <w:u w:val="none"/>
              </w:rPr>
              <w:t>2</w:t>
            </w:r>
            <w:r>
              <w:rPr>
                <w:rFonts w:hint="eastAsia" w:ascii="宋体" w:hAnsi="宋体" w:cs="宋体"/>
                <w:b/>
                <w:bCs/>
                <w:sz w:val="24"/>
                <w:u w:val="none"/>
                <w:lang w:eastAsia="zh-CN"/>
              </w:rPr>
              <w:t>.</w:t>
            </w:r>
            <w:r>
              <w:rPr>
                <w:rFonts w:hint="eastAsia" w:ascii="宋体" w:hAnsi="宋体" w:cs="宋体"/>
                <w:b/>
                <w:bCs/>
                <w:sz w:val="24"/>
                <w:u w:val="none"/>
                <w:lang w:val="en-US" w:eastAsia="zh-CN"/>
              </w:rPr>
              <w:t>投标人硬件实力</w:t>
            </w:r>
          </w:p>
          <w:p>
            <w:pPr>
              <w:rPr>
                <w:rFonts w:hint="eastAsia" w:ascii="宋体" w:hAnsi="宋体" w:cs="宋体"/>
                <w:sz w:val="24"/>
                <w:u w:val="none"/>
              </w:rPr>
            </w:pPr>
            <w:r>
              <w:rPr>
                <w:rFonts w:hint="eastAsia" w:ascii="宋体" w:hAnsi="宋体" w:cs="宋体"/>
                <w:sz w:val="24"/>
                <w:u w:val="none"/>
                <w:lang w:eastAsia="zh-CN"/>
              </w:rPr>
              <w:t>（</w:t>
            </w:r>
            <w:r>
              <w:rPr>
                <w:rFonts w:hint="eastAsia" w:ascii="宋体" w:hAnsi="宋体" w:cs="宋体"/>
                <w:sz w:val="24"/>
                <w:u w:val="none"/>
                <w:lang w:val="en-US" w:eastAsia="zh-CN"/>
              </w:rPr>
              <w:t>1</w:t>
            </w:r>
            <w:r>
              <w:rPr>
                <w:rFonts w:hint="eastAsia" w:ascii="宋体" w:hAnsi="宋体" w:cs="宋体"/>
                <w:sz w:val="24"/>
                <w:u w:val="none"/>
                <w:lang w:eastAsia="zh-CN"/>
              </w:rPr>
              <w:t>）</w:t>
            </w:r>
            <w:r>
              <w:rPr>
                <w:rFonts w:hint="eastAsia" w:ascii="宋体" w:hAnsi="宋体" w:cs="宋体"/>
                <w:sz w:val="24"/>
                <w:u w:val="none"/>
              </w:rPr>
              <w:t xml:space="preserve">成交人有 </w:t>
            </w:r>
            <w:r>
              <w:rPr>
                <w:rFonts w:hint="eastAsia" w:ascii="宋体" w:hAnsi="宋体" w:cs="宋体"/>
                <w:sz w:val="24"/>
                <w:u w:val="none"/>
                <w:lang w:val="en-US" w:eastAsia="zh-CN"/>
              </w:rPr>
              <w:t>500</w:t>
            </w:r>
            <w:r>
              <w:rPr>
                <w:rFonts w:hint="eastAsia" w:ascii="宋体" w:hAnsi="宋体" w:cs="宋体"/>
                <w:sz w:val="24"/>
                <w:u w:val="none"/>
              </w:rPr>
              <w:t>平方米以下的固定办公场所（含开、评标室）得 1 分，</w:t>
            </w:r>
          </w:p>
          <w:p>
            <w:pPr>
              <w:rPr>
                <w:rFonts w:hint="eastAsia" w:ascii="宋体" w:hAnsi="宋体" w:cs="宋体"/>
                <w:sz w:val="24"/>
                <w:u w:val="none"/>
              </w:rPr>
            </w:pPr>
            <w:r>
              <w:rPr>
                <w:rFonts w:hint="eastAsia" w:ascii="宋体" w:hAnsi="宋体" w:cs="宋体"/>
                <w:sz w:val="24"/>
                <w:u w:val="none"/>
                <w:lang w:eastAsia="zh-CN"/>
              </w:rPr>
              <w:t>（</w:t>
            </w:r>
            <w:r>
              <w:rPr>
                <w:rFonts w:hint="eastAsia" w:ascii="宋体" w:hAnsi="宋体" w:cs="宋体"/>
                <w:sz w:val="24"/>
                <w:u w:val="none"/>
                <w:lang w:val="en-US" w:eastAsia="zh-CN"/>
              </w:rPr>
              <w:t>2</w:t>
            </w:r>
            <w:r>
              <w:rPr>
                <w:rFonts w:hint="eastAsia" w:ascii="宋体" w:hAnsi="宋体" w:cs="宋体"/>
                <w:sz w:val="24"/>
                <w:u w:val="none"/>
                <w:lang w:eastAsia="zh-CN"/>
              </w:rPr>
              <w:t>）</w:t>
            </w:r>
            <w:r>
              <w:rPr>
                <w:rFonts w:hint="eastAsia" w:ascii="宋体" w:hAnsi="宋体" w:cs="宋体"/>
                <w:sz w:val="24"/>
                <w:u w:val="none"/>
                <w:lang w:val="en-US" w:eastAsia="zh-CN"/>
              </w:rPr>
              <w:t>500</w:t>
            </w:r>
            <w:r>
              <w:rPr>
                <w:rFonts w:hint="eastAsia" w:ascii="宋体" w:hAnsi="宋体" w:cs="宋体"/>
                <w:sz w:val="24"/>
                <w:u w:val="none"/>
              </w:rPr>
              <w:t>＜S≤</w:t>
            </w:r>
            <w:r>
              <w:rPr>
                <w:rFonts w:hint="eastAsia" w:ascii="宋体" w:hAnsi="宋体" w:cs="宋体"/>
                <w:sz w:val="24"/>
                <w:u w:val="none"/>
                <w:lang w:val="en-US" w:eastAsia="zh-CN"/>
              </w:rPr>
              <w:t>1000</w:t>
            </w:r>
            <w:r>
              <w:rPr>
                <w:rFonts w:hint="eastAsia" w:ascii="宋体" w:hAnsi="宋体" w:cs="宋体"/>
                <w:sz w:val="24"/>
                <w:u w:val="none"/>
              </w:rPr>
              <w:t>平方米得</w:t>
            </w:r>
            <w:r>
              <w:rPr>
                <w:rFonts w:hint="eastAsia" w:ascii="宋体" w:hAnsi="宋体" w:cs="宋体"/>
                <w:sz w:val="24"/>
                <w:u w:val="none"/>
                <w:lang w:val="en-US" w:eastAsia="zh-CN"/>
              </w:rPr>
              <w:t>2</w:t>
            </w:r>
            <w:r>
              <w:rPr>
                <w:rFonts w:hint="eastAsia" w:ascii="宋体" w:hAnsi="宋体" w:cs="宋体"/>
                <w:sz w:val="24"/>
                <w:u w:val="none"/>
              </w:rPr>
              <w:t>分，</w:t>
            </w:r>
          </w:p>
          <w:p>
            <w:pPr>
              <w:rPr>
                <w:rFonts w:hint="default" w:eastAsiaTheme="minorEastAsia"/>
                <w:u w:val="none"/>
                <w:lang w:val="en-US" w:eastAsia="zh-CN"/>
              </w:rPr>
            </w:pPr>
            <w:r>
              <w:rPr>
                <w:rFonts w:hint="eastAsia" w:ascii="宋体" w:hAnsi="宋体" w:cs="宋体"/>
                <w:sz w:val="24"/>
                <w:u w:val="none"/>
                <w:lang w:eastAsia="zh-CN"/>
              </w:rPr>
              <w:t>（</w:t>
            </w:r>
            <w:r>
              <w:rPr>
                <w:rFonts w:hint="eastAsia" w:ascii="宋体" w:hAnsi="宋体" w:cs="宋体"/>
                <w:sz w:val="24"/>
                <w:u w:val="none"/>
                <w:lang w:val="en-US" w:eastAsia="zh-CN"/>
              </w:rPr>
              <w:t>3</w:t>
            </w:r>
            <w:r>
              <w:rPr>
                <w:rFonts w:hint="eastAsia" w:ascii="宋体" w:hAnsi="宋体" w:cs="宋体"/>
                <w:sz w:val="24"/>
                <w:u w:val="none"/>
                <w:lang w:eastAsia="zh-CN"/>
              </w:rPr>
              <w:t>）</w:t>
            </w:r>
            <w:r>
              <w:rPr>
                <w:rFonts w:hint="eastAsia" w:ascii="宋体" w:hAnsi="宋体" w:cs="宋体"/>
                <w:sz w:val="24"/>
                <w:u w:val="none"/>
                <w:lang w:val="en-US" w:eastAsia="zh-CN"/>
              </w:rPr>
              <w:t>1000</w:t>
            </w:r>
            <w:r>
              <w:rPr>
                <w:rFonts w:hint="eastAsia" w:ascii="宋体" w:hAnsi="宋体" w:cs="宋体"/>
                <w:sz w:val="24"/>
                <w:u w:val="none"/>
              </w:rPr>
              <w:t>＜S≤</w:t>
            </w:r>
            <w:r>
              <w:rPr>
                <w:rFonts w:hint="eastAsia" w:ascii="宋体" w:hAnsi="宋体" w:cs="宋体"/>
                <w:sz w:val="24"/>
                <w:u w:val="none"/>
                <w:lang w:val="en-US" w:eastAsia="zh-CN"/>
              </w:rPr>
              <w:t>3000</w:t>
            </w:r>
            <w:r>
              <w:rPr>
                <w:rFonts w:hint="eastAsia" w:ascii="宋体" w:hAnsi="宋体" w:cs="宋体"/>
                <w:sz w:val="24"/>
                <w:u w:val="none"/>
              </w:rPr>
              <w:t>平方米得</w:t>
            </w:r>
            <w:r>
              <w:rPr>
                <w:rFonts w:hint="eastAsia" w:ascii="宋体" w:hAnsi="宋体" w:cs="宋体"/>
                <w:sz w:val="24"/>
                <w:u w:val="none"/>
                <w:lang w:val="en-US" w:eastAsia="zh-CN"/>
              </w:rPr>
              <w:t>4</w:t>
            </w:r>
            <w:r>
              <w:rPr>
                <w:rFonts w:hint="eastAsia" w:ascii="宋体" w:hAnsi="宋体" w:cs="宋体"/>
                <w:sz w:val="24"/>
                <w:u w:val="none"/>
              </w:rPr>
              <w:t>分，</w:t>
            </w:r>
          </w:p>
          <w:p>
            <w:pPr>
              <w:rPr>
                <w:rFonts w:hint="eastAsia" w:ascii="宋体" w:hAnsi="宋体" w:cs="宋体"/>
                <w:sz w:val="24"/>
                <w:u w:val="none"/>
              </w:rPr>
            </w:pPr>
            <w:r>
              <w:rPr>
                <w:rFonts w:hint="eastAsia" w:ascii="宋体" w:hAnsi="宋体" w:cs="宋体"/>
                <w:sz w:val="24"/>
                <w:u w:val="none"/>
                <w:lang w:eastAsia="zh-CN"/>
              </w:rPr>
              <w:t>（</w:t>
            </w:r>
            <w:r>
              <w:rPr>
                <w:rFonts w:hint="eastAsia" w:ascii="宋体" w:hAnsi="宋体" w:cs="宋体"/>
                <w:sz w:val="24"/>
                <w:u w:val="none"/>
                <w:lang w:val="en-US" w:eastAsia="zh-CN"/>
              </w:rPr>
              <w:t>4</w:t>
            </w:r>
            <w:r>
              <w:rPr>
                <w:rFonts w:hint="eastAsia" w:ascii="宋体" w:hAnsi="宋体" w:cs="宋体"/>
                <w:sz w:val="24"/>
                <w:u w:val="none"/>
                <w:lang w:eastAsia="zh-CN"/>
              </w:rPr>
              <w:t>）</w:t>
            </w:r>
            <w:r>
              <w:rPr>
                <w:rFonts w:hint="eastAsia" w:ascii="宋体" w:hAnsi="宋体" w:cs="宋体"/>
                <w:sz w:val="24"/>
                <w:u w:val="none"/>
                <w:lang w:val="en-US" w:eastAsia="zh-CN"/>
              </w:rPr>
              <w:t>3000</w:t>
            </w:r>
            <w:r>
              <w:rPr>
                <w:rFonts w:hint="eastAsia" w:ascii="宋体" w:hAnsi="宋体" w:cs="宋体"/>
                <w:sz w:val="24"/>
                <w:u w:val="none"/>
              </w:rPr>
              <w:t>＜S≤</w:t>
            </w:r>
            <w:r>
              <w:rPr>
                <w:rFonts w:hint="eastAsia" w:ascii="宋体" w:hAnsi="宋体" w:cs="宋体"/>
                <w:sz w:val="24"/>
                <w:u w:val="none"/>
                <w:lang w:val="en-US" w:eastAsia="zh-CN"/>
              </w:rPr>
              <w:t>5000</w:t>
            </w:r>
            <w:r>
              <w:rPr>
                <w:rFonts w:hint="eastAsia" w:ascii="宋体" w:hAnsi="宋体" w:cs="宋体"/>
                <w:sz w:val="24"/>
                <w:u w:val="none"/>
              </w:rPr>
              <w:t xml:space="preserve">平方米得 </w:t>
            </w:r>
            <w:r>
              <w:rPr>
                <w:rFonts w:hint="eastAsia" w:ascii="宋体" w:hAnsi="宋体" w:cs="宋体"/>
                <w:sz w:val="24"/>
                <w:u w:val="none"/>
                <w:lang w:val="en-US" w:eastAsia="zh-CN"/>
              </w:rPr>
              <w:t>6</w:t>
            </w:r>
            <w:r>
              <w:rPr>
                <w:rFonts w:hint="eastAsia" w:ascii="宋体" w:hAnsi="宋体" w:cs="宋体"/>
                <w:sz w:val="24"/>
                <w:u w:val="none"/>
              </w:rPr>
              <w:t xml:space="preserve"> 分，</w:t>
            </w:r>
          </w:p>
          <w:p>
            <w:pPr>
              <w:pStyle w:val="2"/>
              <w:rPr>
                <w:rFonts w:hint="default" w:eastAsiaTheme="minorEastAsia"/>
                <w:b w:val="0"/>
                <w:bCs/>
                <w:u w:val="none"/>
                <w:lang w:val="en-US" w:eastAsia="zh-CN"/>
              </w:rPr>
            </w:pPr>
            <w:r>
              <w:rPr>
                <w:rFonts w:hint="eastAsia" w:ascii="宋体" w:hAnsi="宋体" w:cs="宋体"/>
                <w:b w:val="0"/>
                <w:bCs/>
                <w:sz w:val="24"/>
                <w:u w:val="none"/>
                <w:lang w:eastAsia="zh-CN"/>
              </w:rPr>
              <w:t>（</w:t>
            </w:r>
            <w:r>
              <w:rPr>
                <w:rFonts w:hint="eastAsia" w:ascii="宋体" w:hAnsi="宋体" w:cs="宋体"/>
                <w:b w:val="0"/>
                <w:bCs/>
                <w:sz w:val="24"/>
                <w:u w:val="none"/>
                <w:lang w:val="en-US" w:eastAsia="zh-CN"/>
              </w:rPr>
              <w:t>4</w:t>
            </w:r>
            <w:r>
              <w:rPr>
                <w:rFonts w:hint="eastAsia" w:ascii="宋体" w:hAnsi="宋体" w:cs="宋体"/>
                <w:b w:val="0"/>
                <w:bCs/>
                <w:sz w:val="24"/>
                <w:u w:val="none"/>
                <w:lang w:eastAsia="zh-CN"/>
              </w:rPr>
              <w:t>）</w:t>
            </w:r>
            <w:r>
              <w:rPr>
                <w:rFonts w:hint="eastAsia" w:ascii="宋体" w:hAnsi="宋体" w:cs="宋体"/>
                <w:b w:val="0"/>
                <w:bCs/>
                <w:sz w:val="24"/>
                <w:u w:val="none"/>
              </w:rPr>
              <w:t xml:space="preserve">5000平方米以上的得 </w:t>
            </w:r>
            <w:r>
              <w:rPr>
                <w:rFonts w:hint="eastAsia" w:ascii="宋体" w:hAnsi="宋体" w:cs="宋体"/>
                <w:b w:val="0"/>
                <w:bCs/>
                <w:sz w:val="24"/>
                <w:u w:val="none"/>
                <w:lang w:val="en-US" w:eastAsia="zh-CN"/>
              </w:rPr>
              <w:t>8</w:t>
            </w:r>
            <w:r>
              <w:rPr>
                <w:rFonts w:hint="eastAsia" w:ascii="宋体" w:hAnsi="宋体" w:cs="宋体"/>
                <w:b w:val="0"/>
                <w:bCs/>
                <w:sz w:val="24"/>
                <w:u w:val="none"/>
              </w:rPr>
              <w:t>分，本项最高</w:t>
            </w:r>
            <w:r>
              <w:rPr>
                <w:rFonts w:hint="eastAsia" w:ascii="宋体" w:hAnsi="宋体" w:cs="宋体"/>
                <w:b w:val="0"/>
                <w:bCs/>
                <w:sz w:val="24"/>
                <w:u w:val="none"/>
                <w:lang w:val="en-US" w:eastAsia="zh-CN"/>
              </w:rPr>
              <w:t>8</w:t>
            </w:r>
            <w:r>
              <w:rPr>
                <w:rFonts w:hint="eastAsia" w:ascii="宋体" w:hAnsi="宋体" w:cs="宋体"/>
                <w:b w:val="0"/>
                <w:bCs/>
                <w:sz w:val="24"/>
                <w:u w:val="none"/>
              </w:rPr>
              <w:t xml:space="preserve"> 分。</w:t>
            </w:r>
          </w:p>
          <w:p>
            <w:pPr>
              <w:rPr>
                <w:rFonts w:ascii="宋体" w:hAnsi="宋体" w:cs="宋体"/>
                <w:sz w:val="24"/>
                <w:u w:val="none"/>
              </w:rPr>
            </w:pPr>
            <w:r>
              <w:rPr>
                <w:rFonts w:hint="eastAsia" w:ascii="宋体" w:hAnsi="宋体" w:cs="宋体"/>
                <w:sz w:val="24"/>
                <w:u w:val="none"/>
              </w:rPr>
              <w:t>注：提供房产证明或房屋租赁合同复印件并加盖单位公章；如提供租赁合同的，租赁合同须在有效期，否则不予认可，成交人提供的相关证明材料须真实有效，采购人保留成交后的现场验证权利，若弄虚作假，将取消成交人资格并上报相关部门。</w:t>
            </w:r>
          </w:p>
          <w:p>
            <w:pPr>
              <w:rPr>
                <w:rFonts w:ascii="宋体" w:hAnsi="宋体" w:cs="宋体"/>
                <w:sz w:val="24"/>
                <w:u w:val="none"/>
              </w:rPr>
            </w:pPr>
            <w:r>
              <w:rPr>
                <w:rFonts w:hint="eastAsia" w:ascii="宋体" w:hAnsi="宋体" w:cs="宋体"/>
                <w:sz w:val="24"/>
                <w:u w:val="none"/>
              </w:rPr>
              <w:t>注：固定办公场所系投标人自有房产的提供房屋产权证复印件，租赁的提供有效期内的租赁合同及能体现房屋建筑面积的证明材料复印件；与酒店签订的租赁会议室合同的不予以认可。成交人提供的相关证明材料须真实有效，采购人保留成交后的现场验证权利，若弄虚作假，将取消成交人资格并上报相关部门申请处罚。</w:t>
            </w:r>
          </w:p>
          <w:p>
            <w:pPr>
              <w:rPr>
                <w:rFonts w:ascii="宋体" w:hAnsi="宋体" w:cs="宋体"/>
                <w:b/>
                <w:bCs/>
                <w:sz w:val="24"/>
                <w:u w:val="none"/>
              </w:rPr>
            </w:pPr>
            <w:r>
              <w:rPr>
                <w:rFonts w:hint="eastAsia" w:ascii="宋体" w:hAnsi="宋体" w:cs="宋体"/>
                <w:b/>
                <w:bCs/>
                <w:sz w:val="24"/>
                <w:u w:val="none"/>
              </w:rPr>
              <w:t>3.成交人办公场所内具有固定的开评标场所（提供加盖投标人公章的每个场所的图片）：</w:t>
            </w:r>
          </w:p>
          <w:p>
            <w:pPr>
              <w:rPr>
                <w:rFonts w:ascii="宋体" w:hAnsi="宋体" w:cs="宋体"/>
                <w:sz w:val="24"/>
                <w:u w:val="none"/>
              </w:rPr>
            </w:pPr>
            <w:r>
              <w:rPr>
                <w:rFonts w:hint="eastAsia" w:ascii="宋体" w:hAnsi="宋体" w:cs="宋体"/>
                <w:sz w:val="24"/>
                <w:u w:val="none"/>
              </w:rPr>
              <w:t>（1）同时具有 1 间（或以上）固定开标室和3 间固定评标室的，得 1 分；</w:t>
            </w:r>
          </w:p>
          <w:p>
            <w:pPr>
              <w:rPr>
                <w:rFonts w:ascii="宋体" w:hAnsi="宋体" w:cs="宋体"/>
                <w:sz w:val="24"/>
                <w:u w:val="none"/>
              </w:rPr>
            </w:pPr>
            <w:r>
              <w:rPr>
                <w:rFonts w:hint="eastAsia" w:ascii="宋体" w:hAnsi="宋体" w:cs="宋体"/>
                <w:sz w:val="24"/>
                <w:u w:val="none"/>
              </w:rPr>
              <w:t xml:space="preserve">（2）同时具有 2 间（或以上）固定开标室和4 间固定评标室的，得 </w:t>
            </w:r>
            <w:r>
              <w:rPr>
                <w:rFonts w:hint="eastAsia" w:ascii="宋体" w:hAnsi="宋体" w:cs="宋体"/>
                <w:sz w:val="24"/>
                <w:u w:val="none"/>
                <w:lang w:val="en-US" w:eastAsia="zh-CN"/>
              </w:rPr>
              <w:t>2</w:t>
            </w:r>
            <w:r>
              <w:rPr>
                <w:rFonts w:hint="eastAsia" w:ascii="宋体" w:hAnsi="宋体" w:cs="宋体"/>
                <w:sz w:val="24"/>
                <w:u w:val="none"/>
              </w:rPr>
              <w:t>分；</w:t>
            </w:r>
          </w:p>
          <w:p>
            <w:pPr>
              <w:rPr>
                <w:rFonts w:ascii="宋体" w:hAnsi="宋体" w:cs="宋体"/>
                <w:sz w:val="24"/>
                <w:u w:val="none"/>
              </w:rPr>
            </w:pPr>
            <w:r>
              <w:rPr>
                <w:rFonts w:hint="eastAsia" w:ascii="宋体" w:hAnsi="宋体" w:cs="宋体"/>
                <w:sz w:val="24"/>
                <w:u w:val="none"/>
              </w:rPr>
              <w:t xml:space="preserve">（3）同时具有 4 间（或以上）固定开标室和8 间及以上固定评标室的，得 </w:t>
            </w:r>
            <w:r>
              <w:rPr>
                <w:rFonts w:hint="eastAsia" w:ascii="宋体" w:hAnsi="宋体" w:cs="宋体"/>
                <w:sz w:val="24"/>
                <w:u w:val="none"/>
                <w:lang w:val="en-US" w:eastAsia="zh-CN"/>
              </w:rPr>
              <w:t>3</w:t>
            </w:r>
            <w:r>
              <w:rPr>
                <w:rFonts w:hint="eastAsia" w:ascii="宋体" w:hAnsi="宋体" w:cs="宋体"/>
                <w:sz w:val="24"/>
                <w:u w:val="none"/>
              </w:rPr>
              <w:t xml:space="preserve"> 分。</w:t>
            </w:r>
          </w:p>
          <w:p>
            <w:pPr>
              <w:rPr>
                <w:rFonts w:ascii="宋体" w:hAnsi="宋体" w:cs="宋体"/>
                <w:sz w:val="24"/>
                <w:u w:val="none"/>
              </w:rPr>
            </w:pPr>
            <w:r>
              <w:rPr>
                <w:rFonts w:hint="eastAsia" w:ascii="宋体" w:hAnsi="宋体" w:cs="宋体"/>
                <w:sz w:val="24"/>
                <w:u w:val="none"/>
              </w:rPr>
              <w:t>注：提供开标室、评标室照片打印件。成交人须对证明材料的真实性负责，后期采购人有权对开评标场所进行验证。</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0-2</w:t>
            </w:r>
            <w:r>
              <w:rPr>
                <w:rFonts w:hint="eastAsia" w:ascii="宋体" w:hAnsi="宋体" w:cs="宋体"/>
                <w:sz w:val="24"/>
                <w:u w:val="none"/>
                <w:lang w:val="en-US" w:eastAsia="zh-CN"/>
              </w:rPr>
              <w:t>1</w:t>
            </w:r>
            <w:r>
              <w:rPr>
                <w:rFonts w:hint="eastAsia" w:ascii="宋体" w:hAnsi="宋体" w:cs="宋体"/>
                <w:sz w:val="24"/>
                <w:u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成交人业绩</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u w:val="none"/>
              </w:rPr>
            </w:pPr>
            <w:r>
              <w:rPr>
                <w:rFonts w:hint="eastAsia" w:ascii="宋体" w:hAnsi="宋体" w:cs="宋体"/>
                <w:b/>
                <w:bCs/>
                <w:sz w:val="24"/>
                <w:u w:val="none"/>
              </w:rPr>
              <w:t>除满足初审要求的业绩外：</w:t>
            </w:r>
          </w:p>
          <w:p>
            <w:pPr>
              <w:rPr>
                <w:rFonts w:ascii="宋体" w:hAnsi="宋体" w:cs="宋体"/>
                <w:sz w:val="24"/>
                <w:u w:val="none"/>
              </w:rPr>
            </w:pPr>
            <w:r>
              <w:rPr>
                <w:rFonts w:hint="eastAsia" w:ascii="宋体" w:hAnsi="宋体" w:cs="宋体"/>
                <w:sz w:val="24"/>
                <w:u w:val="none"/>
              </w:rPr>
              <w:t>1.2021年 1 月 1 日以来，每代理过一份货物、服务采购项目中标价 200 万元～500 万元（不含）业绩的得 1 分；每代理过一份货物、服务采购项目中标价 500 万元（含）以上业绩的得 2 分；本项可累计计分，最多得 10 分。</w:t>
            </w:r>
          </w:p>
          <w:p>
            <w:r>
              <w:rPr>
                <w:rFonts w:hint="eastAsia" w:ascii="宋体" w:hAnsi="宋体" w:cs="宋体"/>
                <w:sz w:val="24"/>
                <w:u w:val="none"/>
              </w:rPr>
              <w:t>2.2021 年 1 月 1 日以来，每代理过一份建设工程项目中标价 1000 万元～5000 万元（不含）业绩的得 1 分；每代理过一份建设工程项目中标价 5000 万元（含）以上业绩的，得 2 分；本项可累计计分，最多得 10 分。</w:t>
            </w:r>
          </w:p>
          <w:p>
            <w:pPr>
              <w:rPr>
                <w:rFonts w:ascii="宋体" w:hAnsi="宋体" w:cs="宋体"/>
                <w:b/>
                <w:sz w:val="24"/>
                <w:u w:val="none"/>
              </w:rPr>
            </w:pPr>
            <w:r>
              <w:rPr>
                <w:rFonts w:hint="eastAsia" w:ascii="宋体" w:hAnsi="宋体" w:cs="宋体"/>
                <w:b/>
                <w:sz w:val="24"/>
                <w:u w:val="none"/>
              </w:rPr>
              <w:t>备注 ：</w:t>
            </w:r>
          </w:p>
          <w:p>
            <w:pPr>
              <w:rPr>
                <w:rFonts w:ascii="宋体" w:hAnsi="宋体" w:cs="宋体"/>
                <w:sz w:val="24"/>
                <w:u w:val="none"/>
              </w:rPr>
            </w:pPr>
            <w:r>
              <w:rPr>
                <w:rFonts w:hint="eastAsia" w:ascii="宋体" w:hAnsi="宋体" w:cs="宋体"/>
                <w:sz w:val="24"/>
                <w:u w:val="none"/>
              </w:rPr>
              <w:t>（1）同一项目不累计得分，只记分一次；</w:t>
            </w:r>
          </w:p>
          <w:p>
            <w:pPr>
              <w:rPr>
                <w:rFonts w:ascii="宋体" w:hAnsi="宋体" w:cs="宋体"/>
                <w:sz w:val="24"/>
                <w:u w:val="none"/>
              </w:rPr>
            </w:pPr>
            <w:r>
              <w:rPr>
                <w:rFonts w:hint="eastAsia" w:ascii="宋体" w:hAnsi="宋体" w:cs="宋体"/>
                <w:sz w:val="24"/>
                <w:u w:val="none"/>
              </w:rPr>
              <w:t>（2）响应文件中需同时提供下列证明材料：招标（采购）公告、中标（成交）公告（公示）网站截图及相应网站链接、中标通知书。</w:t>
            </w:r>
          </w:p>
          <w:p>
            <w:pPr>
              <w:rPr>
                <w:rFonts w:ascii="宋体" w:hAnsi="宋体" w:cs="宋体"/>
                <w:sz w:val="24"/>
                <w:u w:val="none"/>
              </w:rPr>
            </w:pPr>
            <w:r>
              <w:rPr>
                <w:rFonts w:hint="eastAsia" w:ascii="宋体" w:hAnsi="宋体" w:cs="宋体"/>
                <w:sz w:val="24"/>
                <w:u w:val="none"/>
              </w:rPr>
              <w:t>（3）时间及金额以中标（成交）公告（公示）截图或中标（成交）通知书中的时间、金额为准。若是以费率形式中标或成交，需同时提供换算为中标（成交）金额后的说明文件。</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高校代理服务业绩</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u w:val="none"/>
              </w:rPr>
            </w:pPr>
            <w:r>
              <w:rPr>
                <w:rFonts w:hint="eastAsia" w:ascii="宋体" w:hAnsi="宋体" w:cs="宋体"/>
                <w:sz w:val="24"/>
                <w:u w:val="none"/>
              </w:rPr>
              <w:t>2021年1月1日以来（时间以合同签订时间为准），投标人与高校签订过长期（至少一年）招标采购代理服务协议，未达到3所的不得分，达到 3 所高校的得基本分3分，另外每增加一所普通高校加1分，最高得9分。</w:t>
            </w:r>
          </w:p>
          <w:p>
            <w:pPr>
              <w:rPr>
                <w:rFonts w:hint="eastAsia" w:ascii="宋体" w:hAnsi="宋体" w:cs="宋体"/>
                <w:b/>
                <w:sz w:val="24"/>
                <w:u w:val="none"/>
              </w:rPr>
            </w:pPr>
            <w:r>
              <w:rPr>
                <w:rFonts w:hint="eastAsia" w:ascii="宋体" w:hAnsi="宋体" w:cs="宋体"/>
                <w:b/>
                <w:sz w:val="24"/>
                <w:u w:val="none"/>
              </w:rPr>
              <w:t>备注：</w:t>
            </w:r>
          </w:p>
          <w:p>
            <w:pPr>
              <w:rPr>
                <w:rFonts w:ascii="宋体" w:hAnsi="宋体" w:cs="宋体"/>
                <w:sz w:val="24"/>
                <w:u w:val="none"/>
              </w:rPr>
            </w:pPr>
            <w:r>
              <w:rPr>
                <w:rFonts w:hint="eastAsia" w:ascii="宋体" w:hAnsi="宋体" w:cs="宋体"/>
                <w:sz w:val="24"/>
                <w:u w:val="none"/>
              </w:rPr>
              <w:t>（1）同一客户业绩不累计计分；</w:t>
            </w:r>
          </w:p>
          <w:p>
            <w:pPr>
              <w:rPr>
                <w:rFonts w:ascii="宋体" w:hAnsi="宋体" w:cs="宋体"/>
                <w:sz w:val="24"/>
                <w:u w:val="none"/>
              </w:rPr>
            </w:pPr>
            <w:r>
              <w:rPr>
                <w:rFonts w:hint="eastAsia" w:ascii="宋体" w:hAnsi="宋体" w:cs="宋体"/>
                <w:sz w:val="24"/>
                <w:u w:val="none"/>
              </w:rPr>
              <w:t>（2）响应文件中需提供合同复印件或影印件，并能清晰体现服务时间、签订时间，否则不得分。</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u w:val="none"/>
              </w:rPr>
            </w:pPr>
            <w:r>
              <w:rPr>
                <w:rFonts w:hint="eastAsia" w:ascii="宋体" w:hAnsi="宋体" w:cs="宋体"/>
                <w:sz w:val="24"/>
                <w:u w:val="none"/>
              </w:rPr>
              <w:t>业主评价</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u w:val="none"/>
              </w:rPr>
            </w:pPr>
            <w:r>
              <w:rPr>
                <w:rFonts w:hint="eastAsia" w:ascii="宋体" w:hAnsi="宋体" w:cs="宋体"/>
                <w:sz w:val="24"/>
                <w:u w:val="none"/>
              </w:rPr>
              <w:t>自2021年1月1日以来具有党政机关、事业单位业主(加盖单位公章)评价。评价为正面评价的一个得1分，本项满分2分。</w:t>
            </w:r>
          </w:p>
          <w:p>
            <w:pPr>
              <w:rPr>
                <w:rFonts w:ascii="宋体" w:hAnsi="宋体" w:cs="宋体"/>
                <w:sz w:val="24"/>
                <w:u w:val="none"/>
              </w:rPr>
            </w:pPr>
            <w:r>
              <w:rPr>
                <w:rFonts w:hint="eastAsia" w:ascii="宋体" w:hAnsi="宋体" w:cs="宋体"/>
                <w:b/>
                <w:sz w:val="24"/>
                <w:u w:val="none"/>
              </w:rPr>
              <w:t>备注：</w:t>
            </w:r>
            <w:r>
              <w:rPr>
                <w:rFonts w:hint="eastAsia" w:ascii="宋体" w:hAnsi="宋体" w:cs="宋体"/>
                <w:sz w:val="24"/>
                <w:u w:val="none"/>
              </w:rPr>
              <w:t>每个业主单位只计一次分。</w:t>
            </w:r>
          </w:p>
        </w:tc>
        <w:tc>
          <w:tcPr>
            <w:tcW w:w="64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sz w:val="24"/>
                <w:u w:val="none"/>
              </w:rPr>
            </w:pPr>
            <w:r>
              <w:rPr>
                <w:rFonts w:hint="eastAsia" w:ascii="宋体" w:hAnsi="宋体" w:cs="宋体"/>
                <w:sz w:val="24"/>
                <w:u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成交人综合实力</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sz w:val="24"/>
                <w:u w:val="none"/>
              </w:rPr>
            </w:pPr>
            <w:r>
              <w:rPr>
                <w:rFonts w:hint="eastAsia" w:ascii="宋体" w:hAnsi="宋体" w:cs="宋体"/>
                <w:sz w:val="24"/>
                <w:u w:val="none"/>
              </w:rPr>
              <w:t>1. 具有经中国国家认证认可监督管理委员会认证机构颁发的质量管理体系认证、环境管理体系认证、职业健康安全管理体系认证，每提供一个得1分，满分3分。</w:t>
            </w:r>
          </w:p>
          <w:p>
            <w:pPr>
              <w:rPr>
                <w:rFonts w:ascii="宋体" w:hAnsi="宋体" w:cs="宋体"/>
                <w:sz w:val="24"/>
                <w:u w:val="none"/>
              </w:rPr>
            </w:pPr>
            <w:r>
              <w:rPr>
                <w:rFonts w:hint="eastAsia" w:ascii="宋体" w:hAnsi="宋体" w:cs="宋体"/>
                <w:sz w:val="24"/>
                <w:u w:val="none"/>
              </w:rPr>
              <w:t>备注：响应文件中需提供认证证书复印件及证书在认监委官网（ http://www.cnca.gov.cn/ ）的查询截图，未提供或提供资料不全的不予计分。</w:t>
            </w:r>
          </w:p>
          <w:p>
            <w:pPr>
              <w:numPr>
                <w:ilvl w:val="0"/>
                <w:numId w:val="5"/>
              </w:numPr>
              <w:rPr>
                <w:rFonts w:ascii="宋体" w:hAnsi="宋体" w:cs="宋体"/>
                <w:sz w:val="24"/>
                <w:u w:val="none"/>
              </w:rPr>
            </w:pPr>
            <w:r>
              <w:rPr>
                <w:rFonts w:hint="eastAsia" w:ascii="宋体" w:hAnsi="宋体" w:cs="宋体"/>
                <w:sz w:val="24"/>
                <w:u w:val="none"/>
              </w:rPr>
              <w:t>自2021年1月1日至今（开标当日）成交人获得过行政主管部门或政府部门或在国内依法登记注册的协会（学会）颁发的奖项（或荣誉）：省级的每提供一个得1分，国家级的每提供一个得2分。本项满分6分。</w:t>
            </w:r>
          </w:p>
          <w:p>
            <w:pPr>
              <w:numPr>
                <w:ilvl w:val="0"/>
                <w:numId w:val="5"/>
              </w:numPr>
              <w:rPr>
                <w:rFonts w:ascii="宋体" w:hAnsi="宋体" w:cs="宋体"/>
                <w:sz w:val="24"/>
                <w:u w:val="none"/>
              </w:rPr>
            </w:pPr>
            <w:r>
              <w:rPr>
                <w:rFonts w:hint="eastAsia" w:ascii="宋体" w:hAnsi="宋体" w:cs="宋体"/>
                <w:sz w:val="24"/>
                <w:u w:val="none"/>
              </w:rPr>
              <w:t>自2021年1月1日至今成交人获得安徽省招标协会认定的安徽省高校招标采购优质代理机构，每次得1分，满分3分。</w:t>
            </w:r>
          </w:p>
          <w:p>
            <w:pPr>
              <w:rPr>
                <w:rFonts w:ascii="宋体" w:hAnsi="宋体" w:cs="宋体"/>
                <w:sz w:val="24"/>
                <w:u w:val="none"/>
              </w:rPr>
            </w:pPr>
            <w:r>
              <w:rPr>
                <w:rFonts w:hint="eastAsia" w:ascii="宋体" w:hAnsi="宋体" w:cs="宋体"/>
                <w:sz w:val="24"/>
                <w:u w:val="none"/>
              </w:rPr>
              <w:t>注：</w:t>
            </w:r>
          </w:p>
          <w:p>
            <w:pPr>
              <w:rPr>
                <w:rFonts w:ascii="宋体" w:hAnsi="宋体" w:cs="宋体"/>
                <w:sz w:val="24"/>
                <w:u w:val="none"/>
              </w:rPr>
            </w:pPr>
            <w:r>
              <w:rPr>
                <w:rFonts w:hint="eastAsia" w:ascii="宋体" w:hAnsi="宋体" w:cs="宋体"/>
                <w:sz w:val="24"/>
                <w:u w:val="none"/>
              </w:rPr>
              <w:t>（1）响应文件中提供获奖证书、批复、颁奖单位颁奖文件、网上公示截图（具有其中之一即可）等证明材料扫描件。证明材料须能体现关键评审因素，如无法体现，须另附颁发单位的相关证明材料加以证明。</w:t>
            </w:r>
          </w:p>
          <w:p>
            <w:pPr>
              <w:jc w:val="left"/>
              <w:rPr>
                <w:rFonts w:ascii="宋体" w:hAnsi="宋体" w:cs="宋体"/>
                <w:sz w:val="24"/>
                <w:u w:val="none"/>
              </w:rPr>
            </w:pPr>
            <w:r>
              <w:rPr>
                <w:rFonts w:hint="eastAsia" w:ascii="宋体" w:hAnsi="宋体" w:cs="宋体"/>
                <w:sz w:val="24"/>
                <w:u w:val="none"/>
              </w:rPr>
              <w:t>（2）“国内依法登记注册”以中国社会组织政务服务平台中“全国社会组织信用信息公示平台（试运行）”查询结果为准。针对国内依法登记注册的协会（或学会）颁发的奖项、荣誉，响应文件中须提供该协会（或学会）在中国社会组织政务服务平台中“全国社会组织信用信息公示平台（试运行）” 查询结果截图。民政部公布的“离岸社团”、“山寨社团”或中国社会组织政务服务平台中“全国社会组织信用信息公示平台（试运行）”公示的“涉嫌非法社会组织”颁发的荣誉、奖励均无效。</w:t>
            </w:r>
          </w:p>
          <w:p>
            <w:pPr>
              <w:rPr>
                <w:rFonts w:ascii="宋体" w:hAnsi="宋体" w:cs="宋体"/>
                <w:sz w:val="24"/>
                <w:u w:val="none"/>
              </w:rPr>
            </w:pPr>
            <w:r>
              <w:rPr>
                <w:rFonts w:hint="eastAsia" w:ascii="宋体" w:hAnsi="宋体" w:cs="宋体"/>
                <w:sz w:val="24"/>
                <w:u w:val="none"/>
              </w:rPr>
              <w:t>4.成交人参与编制过招标（采购）代理行业指南/标准/规范/专业实务的或者承担过公共资源交易监督管理局委托编制的招标采购交易文件范本的，每有一项得1分，满分2分。</w:t>
            </w:r>
          </w:p>
          <w:p>
            <w:pPr>
              <w:rPr>
                <w:rFonts w:ascii="宋体" w:hAnsi="宋体" w:cs="宋体"/>
                <w:sz w:val="24"/>
                <w:u w:val="none"/>
              </w:rPr>
            </w:pPr>
            <w:r>
              <w:rPr>
                <w:rFonts w:hint="eastAsia" w:ascii="宋体" w:hAnsi="宋体" w:cs="宋体"/>
                <w:sz w:val="24"/>
                <w:u w:val="none"/>
              </w:rPr>
              <w:t>备注：参编的提供参编证明；承担过公共资源交易监督管理局委托编制的招标采购交易文件范本的提供委托合同或者公共资源交易监督管理局出具的证明文件。</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项目人员配备</w:t>
            </w:r>
          </w:p>
        </w:tc>
        <w:tc>
          <w:tcPr>
            <w:tcW w:w="3348" w:type="pct"/>
            <w:tcBorders>
              <w:top w:val="single" w:color="auto" w:sz="4" w:space="0"/>
              <w:left w:val="single" w:color="auto" w:sz="4" w:space="0"/>
              <w:bottom w:val="single" w:color="auto" w:sz="4" w:space="0"/>
              <w:right w:val="single" w:color="auto" w:sz="4" w:space="0"/>
            </w:tcBorders>
            <w:vAlign w:val="center"/>
          </w:tcPr>
          <w:p>
            <w:pPr>
              <w:numPr>
                <w:ilvl w:val="0"/>
                <w:numId w:val="6"/>
              </w:numPr>
              <w:rPr>
                <w:rFonts w:ascii="宋体" w:hAnsi="宋体" w:cs="宋体"/>
                <w:b w:val="0"/>
                <w:bCs w:val="0"/>
                <w:sz w:val="24"/>
                <w:u w:val="none"/>
              </w:rPr>
            </w:pPr>
            <w:r>
              <w:rPr>
                <w:rFonts w:hint="eastAsia" w:ascii="宋体" w:hAnsi="宋体" w:cs="宋体"/>
                <w:b w:val="0"/>
                <w:bCs w:val="0"/>
                <w:sz w:val="24"/>
                <w:u w:val="none"/>
              </w:rPr>
              <w:t>项目负责人</w:t>
            </w:r>
          </w:p>
          <w:p>
            <w:pPr>
              <w:widowControl/>
              <w:suppressAutoHyphens/>
              <w:jc w:val="left"/>
              <w:rPr>
                <w:rFonts w:ascii="宋体" w:hAnsi="宋体" w:cs="宋体"/>
                <w:sz w:val="24"/>
                <w:u w:val="none"/>
              </w:rPr>
            </w:pPr>
            <w:r>
              <w:rPr>
                <w:rFonts w:hint="eastAsia" w:ascii="宋体" w:hAnsi="宋体" w:cs="宋体"/>
                <w:sz w:val="24"/>
                <w:u w:val="none"/>
              </w:rPr>
              <w:t>（1）投标人拟委任项目负责人具有高级及以上职称的得2分，具有中级职称的得1分。本项最高得2分。</w:t>
            </w:r>
          </w:p>
          <w:p>
            <w:pPr>
              <w:widowControl/>
              <w:suppressAutoHyphens/>
              <w:jc w:val="left"/>
              <w:rPr>
                <w:rFonts w:ascii="宋体" w:hAnsi="宋体" w:cs="宋体"/>
                <w:sz w:val="24"/>
                <w:u w:val="none"/>
              </w:rPr>
            </w:pPr>
            <w:r>
              <w:rPr>
                <w:rFonts w:hint="eastAsia" w:ascii="宋体" w:hAnsi="宋体" w:cs="宋体"/>
                <w:sz w:val="24"/>
                <w:u w:val="none"/>
              </w:rPr>
              <w:t>（2）具有注册一级建造师或国家级（一级）注册造价工程师的得2分；具有招标师证书的得1分。本项最高得2分。</w:t>
            </w:r>
          </w:p>
          <w:p>
            <w:pPr>
              <w:rPr>
                <w:rFonts w:ascii="宋体" w:hAnsi="宋体" w:cs="宋体"/>
                <w:sz w:val="24"/>
                <w:u w:val="none"/>
              </w:rPr>
            </w:pPr>
            <w:r>
              <w:rPr>
                <w:rFonts w:hint="eastAsia" w:ascii="宋体" w:hAnsi="宋体" w:cs="宋体"/>
                <w:sz w:val="24"/>
                <w:u w:val="none"/>
              </w:rPr>
              <w:t>2.项目组成员（不含项目负责人）具有招标师证书的,每提供 1个得1分，最高4分。</w:t>
            </w:r>
          </w:p>
          <w:p>
            <w:pPr>
              <w:rPr>
                <w:rFonts w:ascii="宋体" w:hAnsi="宋体" w:cs="宋体"/>
                <w:sz w:val="24"/>
                <w:u w:val="none"/>
              </w:rPr>
            </w:pPr>
            <w:r>
              <w:rPr>
                <w:rFonts w:hint="eastAsia" w:ascii="宋体" w:hAnsi="宋体" w:cs="宋体"/>
                <w:sz w:val="24"/>
                <w:u w:val="none"/>
              </w:rPr>
              <w:t>3.项目组成员（不含项目负责人）具有一级建造师证书的，每提供 1 人得1分，本条最高2分。</w:t>
            </w:r>
          </w:p>
          <w:p>
            <w:pPr>
              <w:rPr>
                <w:rFonts w:ascii="宋体" w:hAnsi="宋体" w:cs="宋体"/>
                <w:sz w:val="24"/>
                <w:u w:val="none"/>
              </w:rPr>
            </w:pPr>
            <w:r>
              <w:rPr>
                <w:rFonts w:hint="eastAsia" w:ascii="宋体" w:hAnsi="宋体" w:cs="宋体"/>
                <w:sz w:val="24"/>
                <w:u w:val="none"/>
              </w:rPr>
              <w:t>4.项目组成员（不含项目负责人）具有一级注册造价师证书的，每提供 1 人得 1分，满分2分。</w:t>
            </w:r>
          </w:p>
          <w:p>
            <w:pPr>
              <w:rPr>
                <w:rFonts w:ascii="宋体" w:hAnsi="宋体" w:cs="宋体"/>
                <w:sz w:val="24"/>
                <w:u w:val="none"/>
              </w:rPr>
            </w:pPr>
            <w:r>
              <w:rPr>
                <w:rFonts w:hint="eastAsia" w:ascii="宋体" w:hAnsi="宋体" w:cs="宋体"/>
                <w:sz w:val="24"/>
                <w:u w:val="none"/>
              </w:rPr>
              <w:t>5.项目组成员（不含项目负责人）具有法律职业资格证书的，每提供 1 人得 1 分，满分3分。</w:t>
            </w:r>
          </w:p>
          <w:p>
            <w:pPr>
              <w:rPr>
                <w:rFonts w:ascii="宋体" w:hAnsi="宋体" w:cs="宋体"/>
                <w:b/>
                <w:sz w:val="24"/>
                <w:u w:val="none"/>
              </w:rPr>
            </w:pPr>
            <w:r>
              <w:rPr>
                <w:rFonts w:hint="eastAsia" w:ascii="宋体" w:hAnsi="宋体" w:cs="宋体"/>
                <w:b/>
                <w:sz w:val="24"/>
                <w:u w:val="none"/>
              </w:rPr>
              <w:t>备注：</w:t>
            </w:r>
          </w:p>
          <w:p>
            <w:pPr>
              <w:rPr>
                <w:rFonts w:ascii="宋体" w:hAnsi="宋体" w:cs="宋体"/>
                <w:sz w:val="24"/>
                <w:u w:val="none"/>
              </w:rPr>
            </w:pPr>
            <w:r>
              <w:rPr>
                <w:rFonts w:hint="eastAsia" w:ascii="宋体" w:hAnsi="宋体" w:cs="宋体"/>
                <w:sz w:val="24"/>
                <w:u w:val="none"/>
              </w:rPr>
              <w:t>1、一人多证不可重复计分；</w:t>
            </w:r>
          </w:p>
          <w:p>
            <w:pPr>
              <w:rPr>
                <w:rFonts w:ascii="宋体" w:hAnsi="宋体" w:cs="宋体"/>
                <w:sz w:val="24"/>
                <w:u w:val="none"/>
              </w:rPr>
            </w:pPr>
            <w:r>
              <w:rPr>
                <w:rFonts w:hint="eastAsia" w:ascii="宋体" w:hAnsi="宋体" w:cs="宋体"/>
                <w:sz w:val="24"/>
                <w:u w:val="none"/>
              </w:rPr>
              <w:t>2、项目人员资质证书需提供证书复印件或影印件；</w:t>
            </w:r>
          </w:p>
          <w:p>
            <w:pPr>
              <w:rPr>
                <w:rFonts w:ascii="宋体" w:hAnsi="宋体" w:cs="宋体"/>
                <w:sz w:val="24"/>
                <w:u w:val="none"/>
              </w:rPr>
            </w:pPr>
            <w:r>
              <w:rPr>
                <w:rFonts w:hint="eastAsia" w:ascii="宋体" w:hAnsi="宋体" w:cs="宋体"/>
                <w:sz w:val="24"/>
                <w:u w:val="none"/>
              </w:rPr>
              <w:t>3、上述人员须为申请自有人员，外聘人员不得分；</w:t>
            </w:r>
          </w:p>
          <w:p>
            <w:pPr>
              <w:rPr>
                <w:rFonts w:ascii="宋体" w:hAnsi="宋体" w:cs="宋体"/>
                <w:sz w:val="24"/>
                <w:u w:val="none"/>
              </w:rPr>
            </w:pPr>
            <w:r>
              <w:rPr>
                <w:rFonts w:hint="eastAsia" w:ascii="宋体" w:hAnsi="宋体" w:cs="宋体"/>
                <w:sz w:val="24"/>
                <w:u w:val="none"/>
              </w:rPr>
              <w:t>4、提供成交人连续2023年10-12月份为其缴纳的社保证明材料；</w:t>
            </w:r>
          </w:p>
          <w:p>
            <w:pPr>
              <w:rPr>
                <w:rFonts w:ascii="宋体" w:hAnsi="宋体" w:cs="宋体"/>
                <w:sz w:val="24"/>
                <w:u w:val="none"/>
              </w:rPr>
            </w:pPr>
            <w:r>
              <w:rPr>
                <w:rFonts w:hint="eastAsia" w:ascii="宋体" w:hAnsi="宋体" w:cs="宋体"/>
                <w:sz w:val="24"/>
                <w:u w:val="none"/>
              </w:rPr>
              <w:t>5、所有材料必须清晰可辨认，如无法辨认，不得分。</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0-15分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vMerge w:val="restart"/>
            <w:tcBorders>
              <w:left w:val="single" w:color="auto" w:sz="4" w:space="0"/>
              <w:right w:val="single" w:color="auto" w:sz="4" w:space="0"/>
            </w:tcBorders>
            <w:vAlign w:val="center"/>
          </w:tcPr>
          <w:p>
            <w:pPr>
              <w:jc w:val="center"/>
              <w:rPr>
                <w:rFonts w:ascii="宋体" w:hAnsi="宋体" w:cs="宋体"/>
                <w:bCs/>
                <w:sz w:val="24"/>
                <w:u w:val="none"/>
              </w:rPr>
            </w:pPr>
            <w:r>
              <w:rPr>
                <w:rFonts w:hint="eastAsia" w:ascii="宋体" w:hAnsi="宋体" w:cs="宋体"/>
                <w:bCs/>
                <w:sz w:val="24"/>
                <w:u w:val="none"/>
              </w:rPr>
              <w:t>响应报价分</w:t>
            </w: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折扣率报价</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sz w:val="24"/>
                <w:u w:val="none"/>
              </w:rPr>
            </w:pPr>
            <w:r>
              <w:rPr>
                <w:rFonts w:hint="eastAsia" w:ascii="宋体" w:hAnsi="宋体" w:cs="宋体"/>
                <w:b/>
                <w:bCs/>
                <w:sz w:val="24"/>
                <w:u w:val="none"/>
              </w:rPr>
              <w:t>中标价30万以上（不包含30万）：</w:t>
            </w:r>
          </w:p>
          <w:p>
            <w:pPr>
              <w:rPr>
                <w:rFonts w:ascii="宋体" w:hAnsi="宋体" w:cs="宋体"/>
                <w:sz w:val="24"/>
                <w:u w:val="none"/>
              </w:rPr>
            </w:pPr>
            <w:r>
              <w:rPr>
                <w:rFonts w:hint="eastAsia" w:ascii="宋体" w:hAnsi="宋体" w:cs="宋体"/>
                <w:sz w:val="24"/>
                <w:u w:val="none"/>
              </w:rPr>
              <w:t>代理服务费参照原国家计委计价格【2002】1980号文件中规定的取费标准报出折扣费率，每下降1%，加0.25分，加满5分为止，满分5分。</w:t>
            </w:r>
          </w:p>
          <w:p>
            <w:pPr>
              <w:rPr>
                <w:rFonts w:ascii="宋体" w:hAnsi="宋体" w:cs="宋体"/>
                <w:sz w:val="24"/>
                <w:u w:val="none"/>
              </w:rPr>
            </w:pPr>
            <w:r>
              <w:rPr>
                <w:rFonts w:hint="eastAsia" w:ascii="宋体" w:hAnsi="宋体" w:cs="宋体"/>
                <w:sz w:val="24"/>
                <w:u w:val="none"/>
              </w:rPr>
              <w:t>例如：成交人报价折扣费率为80%，则得5分，即在国家取费标准上打8折。</w:t>
            </w:r>
          </w:p>
          <w:p>
            <w:pPr>
              <w:rPr>
                <w:rFonts w:ascii="宋体" w:hAnsi="宋体" w:cs="宋体"/>
                <w:sz w:val="24"/>
                <w:u w:val="none"/>
              </w:rPr>
            </w:pPr>
            <w:r>
              <w:rPr>
                <w:rFonts w:hint="eastAsia" w:ascii="宋体" w:hAnsi="宋体" w:cs="宋体"/>
                <w:sz w:val="24"/>
                <w:u w:val="none"/>
              </w:rPr>
              <w:t>小数点后数字无论大小一律舍去（格式为：80%，81%，82%......），对于小数点1位后的数字或小数后数字未按照要求报价的，无论大小，一律舍去。</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1" w:type="pct"/>
            <w:vMerge w:val="continue"/>
            <w:tcBorders>
              <w:left w:val="single" w:color="auto" w:sz="4" w:space="0"/>
              <w:right w:val="single" w:color="auto" w:sz="4" w:space="0"/>
            </w:tcBorders>
            <w:vAlign w:val="center"/>
          </w:tcPr>
          <w:p>
            <w:pPr>
              <w:jc w:val="center"/>
              <w:rPr>
                <w:rFonts w:ascii="宋体" w:hAnsi="宋体" w:cs="宋体"/>
                <w:bCs/>
                <w:sz w:val="24"/>
                <w:u w:val="none"/>
              </w:rPr>
            </w:pPr>
          </w:p>
        </w:tc>
        <w:tc>
          <w:tcPr>
            <w:tcW w:w="549"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保底报价</w:t>
            </w:r>
          </w:p>
        </w:tc>
        <w:tc>
          <w:tcPr>
            <w:tcW w:w="3348" w:type="pct"/>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b/>
                <w:bCs/>
                <w:sz w:val="24"/>
                <w:u w:val="none"/>
              </w:rPr>
            </w:pPr>
            <w:r>
              <w:rPr>
                <w:rFonts w:hint="eastAsia" w:ascii="宋体" w:hAnsi="宋体" w:cs="宋体"/>
                <w:b/>
                <w:bCs/>
                <w:sz w:val="24"/>
                <w:u w:val="none"/>
              </w:rPr>
              <w:t>中标价30万以内（包含30万）：</w:t>
            </w:r>
          </w:p>
          <w:p>
            <w:pPr>
              <w:rPr>
                <w:rFonts w:ascii="宋体" w:hAnsi="宋体" w:cs="宋体"/>
                <w:sz w:val="24"/>
                <w:u w:val="none"/>
              </w:rPr>
            </w:pPr>
            <w:r>
              <w:rPr>
                <w:rFonts w:hint="eastAsia" w:ascii="宋体" w:hAnsi="宋体" w:cs="宋体"/>
                <w:sz w:val="24"/>
                <w:u w:val="none"/>
              </w:rPr>
              <w:t>1.成交人保底报价＞4000元的，得0分；</w:t>
            </w:r>
          </w:p>
          <w:p>
            <w:pPr>
              <w:rPr>
                <w:rFonts w:ascii="宋体" w:hAnsi="宋体" w:eastAsia="宋体" w:cs="宋体"/>
                <w:sz w:val="24"/>
                <w:u w:val="none"/>
              </w:rPr>
            </w:pPr>
            <w:r>
              <w:rPr>
                <w:rFonts w:hint="eastAsia" w:ascii="宋体" w:hAnsi="宋体" w:cs="宋体"/>
                <w:sz w:val="24"/>
                <w:u w:val="none"/>
              </w:rPr>
              <w:t>2.成交人保底报价≤4000元区间的，每降低200元得1分，满分5分。</w:t>
            </w:r>
          </w:p>
        </w:tc>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u w:val="none"/>
              </w:rPr>
            </w:pPr>
            <w:r>
              <w:rPr>
                <w:rFonts w:hint="eastAsia" w:ascii="宋体" w:hAnsi="宋体" w:cs="宋体"/>
                <w:sz w:val="24"/>
                <w:u w:val="none"/>
              </w:rPr>
              <w:t>5分</w:t>
            </w:r>
          </w:p>
        </w:tc>
      </w:tr>
    </w:tbl>
    <w:p>
      <w:pPr>
        <w:pStyle w:val="2"/>
      </w:pPr>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bidi="ar"/>
        </w:rPr>
      </w:pPr>
      <w:r>
        <w:rPr>
          <w:rFonts w:ascii="宋体" w:hAnsi="宋体" w:cs="宋体"/>
          <w:b/>
          <w:color w:val="auto"/>
          <w:sz w:val="24"/>
          <w:szCs w:val="18"/>
          <w:highlight w:val="none"/>
          <w:lang w:bidi="ar"/>
        </w:rPr>
        <w:t>2.2.3</w:t>
      </w:r>
      <w:r>
        <w:rPr>
          <w:rFonts w:hint="eastAsia" w:ascii="宋体" w:hAnsi="宋体" w:cs="宋体"/>
          <w:b/>
          <w:color w:val="auto"/>
          <w:sz w:val="24"/>
          <w:szCs w:val="18"/>
          <w:highlight w:val="none"/>
          <w:lang w:bidi="ar"/>
        </w:rPr>
        <w:t>分值汇总</w:t>
      </w:r>
    </w:p>
    <w:p>
      <w:pPr>
        <w:pageBreakBefore w:val="0"/>
        <w:kinsoku/>
        <w:wordWrap/>
        <w:overflowPunct/>
        <w:topLinePunct w:val="0"/>
        <w:autoSpaceDE/>
        <w:autoSpaceDN/>
        <w:bidi w:val="0"/>
        <w:spacing w:line="520" w:lineRule="exact"/>
        <w:ind w:firstLine="480" w:firstLineChars="200"/>
        <w:textAlignment w:val="auto"/>
        <w:rPr>
          <w:rFonts w:ascii="宋体" w:hAnsi="宋体" w:cs="宋体"/>
          <w:color w:val="auto"/>
          <w:sz w:val="24"/>
          <w:szCs w:val="18"/>
          <w:highlight w:val="none"/>
          <w:lang w:bidi="ar"/>
        </w:rPr>
      </w:pPr>
      <w:r>
        <w:rPr>
          <w:rFonts w:hint="eastAsia" w:ascii="宋体" w:hAnsi="宋体" w:cs="宋体"/>
          <w:color w:val="auto"/>
          <w:sz w:val="24"/>
          <w:szCs w:val="18"/>
          <w:highlight w:val="none"/>
          <w:lang w:bidi="ar"/>
        </w:rPr>
        <w:t>（</w:t>
      </w:r>
      <w:r>
        <w:rPr>
          <w:rFonts w:ascii="宋体" w:hAnsi="宋体" w:cs="宋体"/>
          <w:color w:val="auto"/>
          <w:sz w:val="24"/>
          <w:szCs w:val="18"/>
          <w:highlight w:val="none"/>
          <w:lang w:bidi="ar"/>
        </w:rPr>
        <w:t>1</w:t>
      </w:r>
      <w:r>
        <w:rPr>
          <w:rFonts w:hint="eastAsia" w:ascii="宋体" w:hAnsi="宋体" w:cs="宋体"/>
          <w:color w:val="auto"/>
          <w:sz w:val="24"/>
          <w:szCs w:val="18"/>
          <w:highlight w:val="none"/>
          <w:lang w:bidi="ar"/>
        </w:rPr>
        <w:t>）</w:t>
      </w:r>
      <w:r>
        <w:rPr>
          <w:rFonts w:hint="eastAsia" w:ascii="宋体" w:hAnsi="宋体" w:cs="宋体"/>
          <w:color w:val="auto"/>
          <w:sz w:val="24"/>
          <w:szCs w:val="18"/>
          <w:highlight w:val="none"/>
          <w:lang w:val="en-US" w:eastAsia="zh-CN" w:bidi="ar"/>
        </w:rPr>
        <w:t>比选</w:t>
      </w:r>
      <w:r>
        <w:rPr>
          <w:rFonts w:hint="eastAsia" w:ascii="宋体" w:hAnsi="宋体" w:cs="宋体"/>
          <w:color w:val="auto"/>
          <w:sz w:val="24"/>
          <w:szCs w:val="18"/>
          <w:highlight w:val="none"/>
          <w:lang w:bidi="ar"/>
        </w:rPr>
        <w:t>小组各成员应当独立对每个有效响应的文件进行评价、打分，然后汇总每个供应商每项评分因素的得分（四舍五入保留至小数点后两位数），再将供应商每项评分因素的得分进行汇总，得到该供应商的技术资信分之和。</w:t>
      </w:r>
    </w:p>
    <w:p>
      <w:pPr>
        <w:pageBreakBefore w:val="0"/>
        <w:kinsoku/>
        <w:wordWrap/>
        <w:overflowPunct/>
        <w:topLinePunct w:val="0"/>
        <w:autoSpaceDE/>
        <w:autoSpaceDN/>
        <w:bidi w:val="0"/>
        <w:spacing w:line="520" w:lineRule="exact"/>
        <w:ind w:firstLine="480" w:firstLineChars="200"/>
        <w:textAlignment w:val="auto"/>
        <w:rPr>
          <w:rFonts w:hint="eastAsia" w:ascii="宋体" w:hAnsi="宋体" w:cs="宋体"/>
          <w:color w:val="auto"/>
          <w:sz w:val="24"/>
          <w:szCs w:val="18"/>
          <w:highlight w:val="none"/>
          <w:lang w:bidi="ar"/>
        </w:rPr>
      </w:pPr>
      <w:r>
        <w:rPr>
          <w:rFonts w:hint="eastAsia" w:ascii="宋体" w:hAnsi="宋体" w:cs="宋体"/>
          <w:color w:val="auto"/>
          <w:sz w:val="24"/>
          <w:szCs w:val="18"/>
          <w:highlight w:val="none"/>
          <w:lang w:bidi="ar"/>
        </w:rPr>
        <w:t>（</w:t>
      </w:r>
      <w:r>
        <w:rPr>
          <w:rFonts w:ascii="宋体" w:hAnsi="宋体" w:cs="宋体"/>
          <w:color w:val="auto"/>
          <w:sz w:val="24"/>
          <w:szCs w:val="18"/>
          <w:highlight w:val="none"/>
          <w:lang w:bidi="ar"/>
        </w:rPr>
        <w:t>2</w:t>
      </w:r>
      <w:r>
        <w:rPr>
          <w:rFonts w:hint="eastAsia" w:ascii="宋体" w:hAnsi="宋体" w:cs="宋体"/>
          <w:color w:val="auto"/>
          <w:sz w:val="24"/>
          <w:szCs w:val="18"/>
          <w:highlight w:val="none"/>
          <w:lang w:bidi="ar"/>
        </w:rPr>
        <w:t>）每个供应商的技术资信分与报价分之和，即为该供应商的综合总得分。</w:t>
      </w:r>
    </w:p>
    <w:p>
      <w:pPr>
        <w:pageBreakBefore w:val="0"/>
        <w:kinsoku/>
        <w:wordWrap/>
        <w:overflowPunct/>
        <w:topLinePunct w:val="0"/>
        <w:autoSpaceDE/>
        <w:autoSpaceDN/>
        <w:bidi w:val="0"/>
        <w:spacing w:line="520" w:lineRule="exact"/>
        <w:ind w:firstLine="480" w:firstLineChars="200"/>
        <w:textAlignment w:val="auto"/>
        <w:rPr>
          <w:rFonts w:hint="eastAsia" w:ascii="宋体" w:hAnsi="宋体" w:cs="宋体"/>
          <w:color w:val="auto"/>
          <w:sz w:val="24"/>
          <w:szCs w:val="18"/>
          <w:highlight w:val="none"/>
          <w:lang w:bidi="ar"/>
        </w:rPr>
      </w:pPr>
      <w:r>
        <w:rPr>
          <w:rFonts w:hint="eastAsia" w:ascii="宋体" w:hAnsi="宋体" w:cs="宋体"/>
          <w:color w:val="auto"/>
          <w:sz w:val="24"/>
          <w:szCs w:val="18"/>
          <w:highlight w:val="none"/>
          <w:lang w:bidi="ar"/>
        </w:rPr>
        <w:t>（</w:t>
      </w:r>
      <w:r>
        <w:rPr>
          <w:rFonts w:hint="eastAsia" w:ascii="宋体" w:hAnsi="宋体" w:cs="宋体"/>
          <w:color w:val="auto"/>
          <w:sz w:val="24"/>
          <w:szCs w:val="18"/>
          <w:highlight w:val="none"/>
          <w:lang w:val="en-US" w:eastAsia="zh-CN" w:bidi="ar"/>
        </w:rPr>
        <w:t>3</w:t>
      </w:r>
      <w:r>
        <w:rPr>
          <w:rFonts w:hint="eastAsia" w:ascii="宋体" w:hAnsi="宋体" w:cs="宋体"/>
          <w:color w:val="auto"/>
          <w:sz w:val="24"/>
          <w:szCs w:val="18"/>
          <w:highlight w:val="none"/>
          <w:lang w:bidi="ar"/>
        </w:rPr>
        <w:t>）</w:t>
      </w:r>
      <w:r>
        <w:rPr>
          <w:rFonts w:hint="eastAsia" w:ascii="宋体" w:hAnsi="宋体"/>
          <w:sz w:val="24"/>
          <w:highlight w:val="none"/>
          <w:lang w:eastAsia="zh-CN"/>
        </w:rPr>
        <w:t>比选小组</w:t>
      </w:r>
      <w:r>
        <w:rPr>
          <w:rFonts w:ascii="宋体" w:hAnsi="宋体"/>
          <w:sz w:val="24"/>
          <w:highlight w:val="none"/>
        </w:rPr>
        <w:t>依据本项目</w:t>
      </w:r>
      <w:r>
        <w:rPr>
          <w:rFonts w:hint="eastAsia" w:ascii="宋体" w:hAnsi="宋体"/>
          <w:sz w:val="24"/>
          <w:highlight w:val="none"/>
          <w:lang w:eastAsia="zh-CN"/>
        </w:rPr>
        <w:t>比选</w:t>
      </w:r>
      <w:r>
        <w:rPr>
          <w:rFonts w:ascii="宋体" w:hAnsi="宋体"/>
          <w:sz w:val="24"/>
          <w:highlight w:val="none"/>
        </w:rPr>
        <w:t>文件所约定的评审方法和标准，按照有效供应商综合总得分由高到低依次推荐成交候选供应商。综合总得分出现两家或两家以上相同者，按</w:t>
      </w:r>
      <w:r>
        <w:rPr>
          <w:rFonts w:hint="eastAsia" w:ascii="宋体" w:hAnsi="宋体"/>
          <w:sz w:val="24"/>
          <w:highlight w:val="none"/>
          <w:lang w:val="en-US" w:eastAsia="zh-CN"/>
        </w:rPr>
        <w:t>响应</w:t>
      </w:r>
      <w:r>
        <w:rPr>
          <w:rFonts w:ascii="宋体" w:hAnsi="宋体"/>
          <w:sz w:val="24"/>
          <w:highlight w:val="none"/>
        </w:rPr>
        <w:t>报价由低到高排序推荐成交候选供应商；综合总得分且</w:t>
      </w:r>
      <w:r>
        <w:rPr>
          <w:rFonts w:hint="eastAsia" w:ascii="宋体" w:hAnsi="宋体"/>
          <w:sz w:val="24"/>
          <w:highlight w:val="none"/>
          <w:lang w:val="en-US" w:eastAsia="zh-CN"/>
        </w:rPr>
        <w:t>响应</w:t>
      </w:r>
      <w:r>
        <w:rPr>
          <w:rFonts w:ascii="宋体" w:hAnsi="宋体"/>
          <w:sz w:val="24"/>
          <w:highlight w:val="none"/>
        </w:rPr>
        <w:t>报价均相同的，由</w:t>
      </w:r>
      <w:r>
        <w:rPr>
          <w:rFonts w:hint="eastAsia" w:ascii="宋体" w:hAnsi="宋体"/>
          <w:sz w:val="24"/>
          <w:highlight w:val="none"/>
          <w:lang w:eastAsia="zh-CN"/>
        </w:rPr>
        <w:t>比选小组</w:t>
      </w:r>
      <w:r>
        <w:rPr>
          <w:rFonts w:ascii="宋体" w:hAnsi="宋体"/>
          <w:sz w:val="24"/>
          <w:highlight w:val="none"/>
        </w:rPr>
        <w:t>按照技术指标优劣顺序推荐成交候选供应商。</w:t>
      </w:r>
    </w:p>
    <w:p>
      <w:pPr>
        <w:pageBreakBefore w:val="0"/>
        <w:kinsoku/>
        <w:wordWrap/>
        <w:overflowPunct/>
        <w:topLinePunct w:val="0"/>
        <w:autoSpaceDE/>
        <w:autoSpaceDN/>
        <w:bidi w:val="0"/>
        <w:spacing w:line="520" w:lineRule="exact"/>
        <w:ind w:firstLine="482" w:firstLineChars="200"/>
        <w:textAlignment w:val="auto"/>
        <w:rPr>
          <w:rFonts w:ascii="宋体" w:hAnsi="宋体" w:cs="宋体"/>
          <w:b/>
          <w:color w:val="auto"/>
          <w:sz w:val="24"/>
          <w:szCs w:val="18"/>
          <w:highlight w:val="none"/>
          <w:lang w:val="en-US" w:eastAsia="zh-CN" w:bidi="ar"/>
        </w:rPr>
      </w:pPr>
      <w:r>
        <w:rPr>
          <w:rFonts w:hint="eastAsia" w:ascii="宋体" w:hAnsi="宋体" w:cs="宋体"/>
          <w:b/>
          <w:color w:val="auto"/>
          <w:sz w:val="24"/>
          <w:szCs w:val="18"/>
          <w:highlight w:val="none"/>
          <w:lang w:val="en-US" w:eastAsia="zh-CN" w:bidi="ar"/>
        </w:rPr>
        <w:t>2.2.4</w:t>
      </w:r>
      <w:r>
        <w:rPr>
          <w:rFonts w:ascii="宋体" w:hAnsi="宋体" w:cs="宋体"/>
          <w:b/>
          <w:color w:val="auto"/>
          <w:sz w:val="24"/>
          <w:szCs w:val="18"/>
          <w:highlight w:val="none"/>
          <w:lang w:val="en-US" w:eastAsia="zh-CN" w:bidi="ar"/>
        </w:rPr>
        <w:t>相关说明</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）比选</w:t>
      </w:r>
      <w:r>
        <w:rPr>
          <w:rFonts w:ascii="宋体" w:hAnsi="宋体"/>
          <w:sz w:val="24"/>
          <w:highlight w:val="none"/>
        </w:rPr>
        <w:t>过程中，</w:t>
      </w:r>
      <w:r>
        <w:rPr>
          <w:rFonts w:hint="eastAsia" w:ascii="宋体" w:hAnsi="宋体"/>
          <w:sz w:val="24"/>
          <w:highlight w:val="none"/>
          <w:lang w:eastAsia="zh-CN"/>
        </w:rPr>
        <w:t>比选小组</w:t>
      </w:r>
      <w:r>
        <w:rPr>
          <w:rFonts w:hint="eastAsia" w:ascii="宋体" w:hAnsi="宋体"/>
          <w:sz w:val="24"/>
          <w:highlight w:val="none"/>
        </w:rPr>
        <w:t>认为</w:t>
      </w:r>
      <w:r>
        <w:rPr>
          <w:rFonts w:ascii="宋体" w:hAnsi="宋体"/>
          <w:sz w:val="24"/>
          <w:highlight w:val="none"/>
        </w:rPr>
        <w:t>供应商的报价或者某些分项报价</w:t>
      </w:r>
      <w:r>
        <w:rPr>
          <w:rFonts w:hint="eastAsia" w:ascii="宋体" w:hAnsi="宋体"/>
          <w:sz w:val="24"/>
          <w:highlight w:val="none"/>
        </w:rPr>
        <w:t>明显低于其他通过符合性审查供应商的报价，有可能影响产品质量或者不能诚信履约的，应当要求其在评标现场合理的时间内提供书面文件予以说明，必要时提交相关证明材料；供应商不能证明其报价合理性的</w:t>
      </w:r>
      <w:r>
        <w:rPr>
          <w:rFonts w:ascii="宋体" w:hAnsi="宋体"/>
          <w:sz w:val="24"/>
          <w:highlight w:val="none"/>
        </w:rPr>
        <w:t>，</w:t>
      </w:r>
      <w:r>
        <w:rPr>
          <w:rFonts w:hint="eastAsia" w:ascii="宋体" w:hAnsi="宋体"/>
          <w:sz w:val="24"/>
          <w:highlight w:val="none"/>
          <w:lang w:eastAsia="zh-CN"/>
        </w:rPr>
        <w:t>比选小组</w:t>
      </w:r>
      <w:r>
        <w:rPr>
          <w:rFonts w:ascii="宋体" w:hAnsi="宋体"/>
          <w:sz w:val="24"/>
          <w:highlight w:val="none"/>
        </w:rPr>
        <w:t>可以</w:t>
      </w:r>
      <w:r>
        <w:rPr>
          <w:rFonts w:hint="eastAsia" w:ascii="宋体" w:hAnsi="宋体"/>
          <w:sz w:val="24"/>
          <w:highlight w:val="none"/>
        </w:rPr>
        <w:t>认定该投标无效</w:t>
      </w:r>
      <w:r>
        <w:rPr>
          <w:rFonts w:ascii="宋体" w:hAnsi="宋体"/>
          <w:sz w:val="24"/>
          <w:highlight w:val="none"/>
        </w:rPr>
        <w:t>。</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w:t>
      </w:r>
      <w:r>
        <w:rPr>
          <w:rFonts w:ascii="宋体" w:hAnsi="宋体"/>
          <w:sz w:val="24"/>
          <w:highlight w:val="none"/>
        </w:rPr>
        <w:t>无论何种原因，即使供应商</w:t>
      </w:r>
      <w:r>
        <w:rPr>
          <w:rFonts w:hint="eastAsia" w:ascii="宋体" w:hAnsi="宋体"/>
          <w:sz w:val="24"/>
          <w:highlight w:val="none"/>
          <w:lang w:eastAsia="zh-CN"/>
        </w:rPr>
        <w:t>比选</w:t>
      </w:r>
      <w:r>
        <w:rPr>
          <w:rFonts w:ascii="宋体" w:hAnsi="宋体"/>
          <w:sz w:val="24"/>
          <w:highlight w:val="none"/>
        </w:rPr>
        <w:t>时携带了证书材料的原件，但响应文件中未提供与之内容完全一致的</w:t>
      </w:r>
      <w:r>
        <w:rPr>
          <w:rFonts w:hint="eastAsia" w:ascii="宋体" w:hAnsi="宋体"/>
          <w:sz w:val="24"/>
          <w:highlight w:val="none"/>
        </w:rPr>
        <w:t>复印件</w:t>
      </w:r>
      <w:r>
        <w:rPr>
          <w:rFonts w:ascii="宋体" w:hAnsi="宋体"/>
          <w:sz w:val="24"/>
          <w:highlight w:val="none"/>
        </w:rPr>
        <w:t>或影印件的，</w:t>
      </w:r>
      <w:r>
        <w:rPr>
          <w:rFonts w:hint="eastAsia" w:ascii="宋体" w:hAnsi="宋体"/>
          <w:sz w:val="24"/>
          <w:highlight w:val="none"/>
          <w:lang w:eastAsia="zh-CN"/>
        </w:rPr>
        <w:t>比选小组</w:t>
      </w:r>
      <w:r>
        <w:rPr>
          <w:rFonts w:ascii="宋体" w:hAnsi="宋体"/>
          <w:sz w:val="24"/>
          <w:highlight w:val="none"/>
        </w:rPr>
        <w:t>可以视同其未提供。</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）比选小组</w:t>
      </w:r>
      <w:r>
        <w:rPr>
          <w:rFonts w:ascii="宋体" w:hAnsi="宋体"/>
          <w:sz w:val="24"/>
          <w:highlight w:val="none"/>
        </w:rPr>
        <w:t>决定响应文件的响应性及符合性只根据响应文件本身的内容，而不寻求其他外部证据。</w:t>
      </w:r>
    </w:p>
    <w:p>
      <w:pPr>
        <w:pageBreakBefore w:val="0"/>
        <w:kinsoku/>
        <w:overflowPunct/>
        <w:topLinePunct w:val="0"/>
        <w:autoSpaceDE/>
        <w:autoSpaceDN/>
        <w:bidi w:val="0"/>
        <w:adjustRightInd/>
        <w:snapToGrid/>
        <w:spacing w:line="520" w:lineRule="exact"/>
        <w:ind w:firstLine="482" w:firstLineChars="200"/>
        <w:textAlignment w:val="auto"/>
        <w:rPr>
          <w:rFonts w:ascii="宋体" w:hAnsi="宋体"/>
          <w:b/>
          <w:sz w:val="24"/>
          <w:highlight w:val="none"/>
        </w:rPr>
      </w:pPr>
      <w:r>
        <w:rPr>
          <w:rFonts w:hint="eastAsia" w:ascii="宋体" w:hAnsi="宋体" w:cs="宋体"/>
          <w:b/>
          <w:color w:val="auto"/>
          <w:sz w:val="24"/>
          <w:szCs w:val="18"/>
          <w:highlight w:val="none"/>
          <w:lang w:val="en-US" w:eastAsia="zh-CN" w:bidi="ar"/>
        </w:rPr>
        <w:t>2.2.5响应文件的澄清、说明或更正</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1</w:t>
      </w:r>
      <w:r>
        <w:rPr>
          <w:rFonts w:hint="eastAsia" w:ascii="宋体" w:hAnsi="宋体"/>
          <w:sz w:val="24"/>
          <w:highlight w:val="none"/>
          <w:lang w:eastAsia="zh-CN"/>
        </w:rPr>
        <w:t>）比选小组</w:t>
      </w:r>
      <w:r>
        <w:rPr>
          <w:rFonts w:ascii="宋体" w:hAnsi="宋体"/>
          <w:sz w:val="24"/>
          <w:highlight w:val="none"/>
        </w:rPr>
        <w:t>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2</w:t>
      </w:r>
      <w:r>
        <w:rPr>
          <w:rFonts w:hint="eastAsia" w:ascii="宋体" w:hAnsi="宋体"/>
          <w:sz w:val="24"/>
          <w:highlight w:val="none"/>
          <w:lang w:eastAsia="zh-CN"/>
        </w:rPr>
        <w:t>）比选小组</w:t>
      </w:r>
      <w:r>
        <w:rPr>
          <w:rFonts w:ascii="宋体" w:hAnsi="宋体"/>
          <w:sz w:val="24"/>
          <w:highlight w:val="none"/>
        </w:rPr>
        <w:t>要求供应商澄清、说明或者更正响应文件应当以书面形式（询标）作出。供应商的澄清、说明或者更正应当由法定代表人或其授权代表签字或者加盖公章。</w:t>
      </w:r>
    </w:p>
    <w:p>
      <w:pPr>
        <w:pageBreakBefore w:val="0"/>
        <w:kinsoku/>
        <w:overflowPunct/>
        <w:topLinePunct w:val="0"/>
        <w:autoSpaceDE/>
        <w:autoSpaceDN/>
        <w:bidi w:val="0"/>
        <w:adjustRightInd/>
        <w:snapToGrid/>
        <w:spacing w:line="520" w:lineRule="exact"/>
        <w:ind w:firstLine="482" w:firstLineChars="200"/>
        <w:textAlignment w:val="auto"/>
        <w:rPr>
          <w:rFonts w:ascii="宋体" w:hAnsi="宋体"/>
          <w:b/>
          <w:sz w:val="24"/>
          <w:highlight w:val="none"/>
        </w:rPr>
      </w:pPr>
      <w:r>
        <w:rPr>
          <w:rFonts w:ascii="宋体" w:hAnsi="宋体"/>
          <w:b/>
          <w:sz w:val="24"/>
          <w:highlight w:val="none"/>
        </w:rPr>
        <w:t>如有询标，授权代表（或法定代表人）携带本人有效身份证明原件参加询标。因授权代表联系不上、未到</w:t>
      </w:r>
      <w:r>
        <w:rPr>
          <w:rFonts w:hint="eastAsia" w:ascii="宋体" w:hAnsi="宋体"/>
          <w:b/>
          <w:sz w:val="24"/>
          <w:highlight w:val="none"/>
          <w:lang w:eastAsia="zh-CN"/>
        </w:rPr>
        <w:t>比选</w:t>
      </w:r>
      <w:r>
        <w:rPr>
          <w:rFonts w:ascii="宋体" w:hAnsi="宋体"/>
          <w:b/>
          <w:sz w:val="24"/>
          <w:highlight w:val="none"/>
        </w:rPr>
        <w:t>现场、</w:t>
      </w:r>
      <w:r>
        <w:rPr>
          <w:rFonts w:hint="eastAsia" w:ascii="宋体" w:hAnsi="宋体"/>
          <w:b/>
          <w:sz w:val="24"/>
          <w:highlight w:val="none"/>
        </w:rPr>
        <w:t>未能提供本人有效身份证明原件</w:t>
      </w:r>
      <w:r>
        <w:rPr>
          <w:rFonts w:ascii="宋体" w:hAnsi="宋体"/>
          <w:b/>
          <w:sz w:val="24"/>
          <w:highlight w:val="none"/>
        </w:rPr>
        <w:t>等情形而无法接受</w:t>
      </w:r>
      <w:r>
        <w:rPr>
          <w:rFonts w:hint="eastAsia" w:ascii="宋体" w:hAnsi="宋体"/>
          <w:b/>
          <w:sz w:val="24"/>
          <w:highlight w:val="none"/>
          <w:lang w:eastAsia="zh-CN"/>
        </w:rPr>
        <w:t>比选小组</w:t>
      </w:r>
      <w:r>
        <w:rPr>
          <w:rFonts w:ascii="宋体" w:hAnsi="宋体"/>
          <w:b/>
          <w:sz w:val="24"/>
          <w:highlight w:val="none"/>
        </w:rPr>
        <w:t>询标的，供应商自行承担相关风险。</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sz w:val="24"/>
          <w:highlight w:val="none"/>
          <w:lang w:eastAsia="zh-CN"/>
        </w:rPr>
        <w:t>（</w:t>
      </w:r>
      <w:r>
        <w:rPr>
          <w:rFonts w:hint="eastAsia" w:ascii="宋体" w:hAnsi="宋体"/>
          <w:sz w:val="24"/>
          <w:highlight w:val="none"/>
          <w:lang w:val="en-US" w:eastAsia="zh-CN"/>
        </w:rPr>
        <w:t>3</w:t>
      </w:r>
      <w:r>
        <w:rPr>
          <w:rFonts w:hint="eastAsia" w:ascii="宋体" w:hAnsi="宋体"/>
          <w:sz w:val="24"/>
          <w:highlight w:val="none"/>
          <w:lang w:eastAsia="zh-CN"/>
        </w:rPr>
        <w:t>）</w:t>
      </w:r>
      <w:r>
        <w:rPr>
          <w:rFonts w:hint="eastAsia" w:ascii="宋体" w:hAnsi="宋体"/>
          <w:kern w:val="0"/>
          <w:sz w:val="24"/>
          <w:szCs w:val="24"/>
          <w:highlight w:val="none"/>
        </w:rPr>
        <w:t>响应文件报价出现前后不一致的，除</w:t>
      </w:r>
      <w:r>
        <w:rPr>
          <w:rFonts w:hint="eastAsia" w:ascii="宋体" w:hAnsi="宋体"/>
          <w:kern w:val="0"/>
          <w:sz w:val="24"/>
          <w:szCs w:val="24"/>
          <w:highlight w:val="none"/>
          <w:lang w:eastAsia="zh-CN"/>
        </w:rPr>
        <w:t>比选</w:t>
      </w:r>
      <w:r>
        <w:rPr>
          <w:rFonts w:hint="eastAsia" w:ascii="宋体" w:hAnsi="宋体"/>
          <w:kern w:val="0"/>
          <w:sz w:val="24"/>
          <w:szCs w:val="24"/>
          <w:highlight w:val="none"/>
        </w:rPr>
        <w:t>文件另有规定外，按照下列顺序修正：</w:t>
      </w:r>
    </w:p>
    <w:p>
      <w:pPr>
        <w:pageBreakBefore w:val="0"/>
        <w:kinsoku/>
        <w:overflowPunct/>
        <w:topLinePunct w:val="0"/>
        <w:autoSpaceDE/>
        <w:autoSpaceDN/>
        <w:bidi w:val="0"/>
        <w:adjustRightInd/>
        <w:snapToGrid/>
        <w:spacing w:line="520" w:lineRule="exact"/>
        <w:ind w:left="0" w:leftChars="0" w:firstLine="1036" w:firstLineChars="432"/>
        <w:textAlignment w:val="auto"/>
        <w:rPr>
          <w:rFonts w:ascii="宋体" w:hAnsi="宋体"/>
          <w:sz w:val="24"/>
          <w:highlight w:val="none"/>
        </w:rPr>
      </w:pPr>
      <w:r>
        <w:rPr>
          <w:rFonts w:hint="eastAsia" w:ascii="宋体" w:hAnsi="宋体"/>
          <w:sz w:val="24"/>
          <w:highlight w:val="none"/>
          <w:lang w:val="en-US" w:eastAsia="zh-CN"/>
        </w:rPr>
        <w:t>A.</w:t>
      </w:r>
      <w:r>
        <w:rPr>
          <w:rFonts w:hint="eastAsia" w:ascii="宋体" w:hAnsi="宋体"/>
          <w:sz w:val="24"/>
          <w:highlight w:val="none"/>
        </w:rPr>
        <w:t>报价表内容与响应文件相应内容不一致的，以报价表为准；</w:t>
      </w:r>
    </w:p>
    <w:p>
      <w:pPr>
        <w:pageBreakBefore w:val="0"/>
        <w:kinsoku/>
        <w:overflowPunct/>
        <w:topLinePunct w:val="0"/>
        <w:autoSpaceDE/>
        <w:autoSpaceDN/>
        <w:bidi w:val="0"/>
        <w:adjustRightInd/>
        <w:snapToGrid/>
        <w:spacing w:line="520" w:lineRule="exact"/>
        <w:ind w:left="0" w:leftChars="0" w:firstLine="1036" w:firstLineChars="432"/>
        <w:textAlignment w:val="auto"/>
        <w:rPr>
          <w:rFonts w:hint="eastAsia" w:ascii="宋体" w:hAnsi="宋体"/>
          <w:sz w:val="24"/>
          <w:highlight w:val="none"/>
        </w:rPr>
      </w:pPr>
      <w:r>
        <w:rPr>
          <w:rFonts w:hint="eastAsia" w:ascii="宋体" w:hAnsi="宋体"/>
          <w:sz w:val="24"/>
          <w:highlight w:val="none"/>
          <w:lang w:val="en-US" w:eastAsia="zh-CN"/>
        </w:rPr>
        <w:t>B.</w:t>
      </w:r>
      <w:r>
        <w:rPr>
          <w:rFonts w:hint="eastAsia" w:ascii="宋体" w:hAnsi="宋体"/>
          <w:sz w:val="24"/>
          <w:highlight w:val="none"/>
        </w:rPr>
        <w:t>大写金额和小写金额不一致的，以大写金额为准；</w:t>
      </w:r>
    </w:p>
    <w:p>
      <w:pPr>
        <w:pageBreakBefore w:val="0"/>
        <w:kinsoku/>
        <w:overflowPunct/>
        <w:topLinePunct w:val="0"/>
        <w:autoSpaceDE/>
        <w:autoSpaceDN/>
        <w:bidi w:val="0"/>
        <w:adjustRightInd/>
        <w:snapToGrid/>
        <w:spacing w:line="520" w:lineRule="exact"/>
        <w:ind w:left="0" w:leftChars="0" w:firstLine="1036" w:firstLineChars="432"/>
        <w:textAlignment w:val="auto"/>
        <w:rPr>
          <w:rFonts w:hint="eastAsia" w:ascii="宋体" w:hAnsi="宋体"/>
          <w:sz w:val="24"/>
          <w:highlight w:val="none"/>
        </w:rPr>
      </w:pPr>
      <w:r>
        <w:rPr>
          <w:rFonts w:hint="eastAsia" w:ascii="宋体" w:hAnsi="宋体"/>
          <w:sz w:val="24"/>
          <w:highlight w:val="none"/>
          <w:lang w:val="en-US" w:eastAsia="zh-CN"/>
        </w:rPr>
        <w:t>C.</w:t>
      </w:r>
      <w:r>
        <w:rPr>
          <w:rFonts w:hint="eastAsia" w:ascii="宋体" w:hAnsi="宋体"/>
          <w:sz w:val="24"/>
          <w:highlight w:val="none"/>
        </w:rPr>
        <w:t>单价金额小数点或者百分比有明显错位的，应以报价表的总价为准，并修改单价；</w:t>
      </w:r>
    </w:p>
    <w:p>
      <w:pPr>
        <w:pageBreakBefore w:val="0"/>
        <w:kinsoku/>
        <w:overflowPunct/>
        <w:topLinePunct w:val="0"/>
        <w:autoSpaceDE/>
        <w:autoSpaceDN/>
        <w:bidi w:val="0"/>
        <w:adjustRightInd/>
        <w:snapToGrid/>
        <w:spacing w:line="520" w:lineRule="exact"/>
        <w:ind w:left="0" w:leftChars="0" w:firstLine="1036" w:firstLineChars="432"/>
        <w:textAlignment w:val="auto"/>
        <w:rPr>
          <w:rFonts w:hint="eastAsia" w:ascii="宋体" w:hAnsi="宋体"/>
          <w:sz w:val="24"/>
          <w:highlight w:val="none"/>
        </w:rPr>
      </w:pPr>
      <w:r>
        <w:rPr>
          <w:rFonts w:hint="eastAsia" w:ascii="宋体" w:hAnsi="宋体"/>
          <w:sz w:val="24"/>
          <w:highlight w:val="none"/>
          <w:lang w:val="en-US" w:eastAsia="zh-CN"/>
        </w:rPr>
        <w:t>D.</w:t>
      </w:r>
      <w:r>
        <w:rPr>
          <w:rFonts w:hint="eastAsia" w:ascii="宋体" w:hAnsi="宋体"/>
          <w:sz w:val="24"/>
          <w:highlight w:val="none"/>
        </w:rPr>
        <w:t xml:space="preserve">总价金额与按单价汇总金额不一致的，以单价金额计算结果为准。 </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hint="eastAsia" w:ascii="宋体" w:hAnsi="宋体"/>
          <w:bCs/>
          <w:sz w:val="24"/>
          <w:highlight w:val="none"/>
          <w:lang w:val="en-US" w:eastAsia="zh-CN"/>
        </w:rPr>
        <w:t>注：</w:t>
      </w:r>
      <w:r>
        <w:rPr>
          <w:rFonts w:hint="eastAsia" w:ascii="宋体" w:hAnsi="宋体"/>
          <w:bCs/>
          <w:sz w:val="24"/>
          <w:highlight w:val="none"/>
        </w:rPr>
        <w:t>如同时出现两种及以上所述的不一致情况，按照规定的顺序更正。修正后的报价经供应商确认后产生约束力，供应商不确认的，其响应无效。</w:t>
      </w:r>
    </w:p>
    <w:p>
      <w:pPr>
        <w:pageBreakBefore w:val="0"/>
        <w:kinsoku/>
        <w:overflowPunct/>
        <w:topLinePunct w:val="0"/>
        <w:autoSpaceDE/>
        <w:autoSpaceDN/>
        <w:bidi w:val="0"/>
        <w:adjustRightInd/>
        <w:snapToGrid/>
        <w:spacing w:line="520" w:lineRule="exact"/>
        <w:ind w:firstLine="482" w:firstLineChars="200"/>
        <w:textAlignment w:val="auto"/>
        <w:rPr>
          <w:rFonts w:ascii="宋体" w:hAnsi="宋体"/>
          <w:b/>
          <w:sz w:val="24"/>
          <w:highlight w:val="none"/>
        </w:rPr>
      </w:pPr>
      <w:r>
        <w:rPr>
          <w:rFonts w:hint="eastAsia" w:ascii="宋体" w:hAnsi="宋体" w:cs="宋体"/>
          <w:b/>
          <w:color w:val="auto"/>
          <w:sz w:val="24"/>
          <w:szCs w:val="18"/>
          <w:highlight w:val="none"/>
          <w:lang w:val="en-US" w:eastAsia="zh-CN" w:bidi="ar"/>
        </w:rPr>
        <w:t>2.2.6终止比选</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ascii="宋体" w:hAnsi="宋体"/>
          <w:sz w:val="24"/>
          <w:highlight w:val="none"/>
        </w:rPr>
        <w:t>出现下列情况之一时，采购人有权宣布终止</w:t>
      </w:r>
      <w:r>
        <w:rPr>
          <w:rFonts w:hint="eastAsia" w:ascii="宋体" w:hAnsi="宋体"/>
          <w:sz w:val="24"/>
          <w:highlight w:val="none"/>
          <w:lang w:eastAsia="zh-CN"/>
        </w:rPr>
        <w:t>比选</w:t>
      </w:r>
      <w:r>
        <w:rPr>
          <w:rFonts w:ascii="宋体" w:hAnsi="宋体"/>
          <w:sz w:val="24"/>
          <w:highlight w:val="none"/>
        </w:rPr>
        <w:t>采购，并将理由通知所有供应商：</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ascii="宋体" w:hAnsi="宋体"/>
          <w:sz w:val="24"/>
          <w:highlight w:val="none"/>
        </w:rPr>
        <w:t>（1）有效供应商数量不足，导致本次</w:t>
      </w:r>
      <w:r>
        <w:rPr>
          <w:rFonts w:hint="eastAsia" w:ascii="宋体" w:hAnsi="宋体"/>
          <w:sz w:val="24"/>
          <w:highlight w:val="none"/>
          <w:lang w:eastAsia="zh-CN"/>
        </w:rPr>
        <w:t>比选</w:t>
      </w:r>
      <w:r>
        <w:rPr>
          <w:rFonts w:ascii="宋体" w:hAnsi="宋体"/>
          <w:sz w:val="24"/>
          <w:highlight w:val="none"/>
        </w:rPr>
        <w:t>缺乏竞争的；</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ascii="宋体" w:hAnsi="宋体"/>
          <w:sz w:val="24"/>
          <w:highlight w:val="none"/>
        </w:rPr>
        <w:t>（2）出现影响采购公正的违法、违规行为的；</w:t>
      </w:r>
    </w:p>
    <w:p>
      <w:pPr>
        <w:pageBreakBefore w:val="0"/>
        <w:kinsoku/>
        <w:overflowPunct/>
        <w:topLinePunct w:val="0"/>
        <w:autoSpaceDE/>
        <w:autoSpaceDN/>
        <w:bidi w:val="0"/>
        <w:adjustRightInd/>
        <w:snapToGrid/>
        <w:spacing w:line="520" w:lineRule="exact"/>
        <w:ind w:firstLine="480" w:firstLineChars="200"/>
        <w:textAlignment w:val="auto"/>
        <w:rPr>
          <w:rFonts w:ascii="宋体" w:hAnsi="宋体"/>
          <w:sz w:val="24"/>
          <w:highlight w:val="none"/>
        </w:rPr>
      </w:pPr>
      <w:r>
        <w:rPr>
          <w:rFonts w:ascii="宋体" w:hAnsi="宋体"/>
          <w:sz w:val="24"/>
          <w:highlight w:val="none"/>
        </w:rPr>
        <w:t>（3）因重大变故，采购任务取消的；</w:t>
      </w:r>
    </w:p>
    <w:p>
      <w:pPr>
        <w:pageBreakBefore w:val="0"/>
        <w:kinsoku/>
        <w:overflowPunct/>
        <w:topLinePunct w:val="0"/>
        <w:autoSpaceDE/>
        <w:autoSpaceDN/>
        <w:bidi w:val="0"/>
        <w:adjustRightInd/>
        <w:snapToGrid/>
        <w:spacing w:line="520" w:lineRule="exact"/>
        <w:ind w:firstLine="480" w:firstLineChars="200"/>
        <w:textAlignment w:val="auto"/>
        <w:rPr>
          <w:rFonts w:hint="default"/>
          <w:lang w:val="en-US" w:eastAsia="zh-CN"/>
        </w:rPr>
      </w:pPr>
      <w:r>
        <w:rPr>
          <w:rFonts w:ascii="宋体" w:hAnsi="宋体"/>
          <w:sz w:val="24"/>
          <w:highlight w:val="none"/>
        </w:rPr>
        <w:t>（4）政府采购法律法规规定的其他情形。</w:t>
      </w:r>
    </w:p>
    <w:p>
      <w:pPr>
        <w:pStyle w:val="4"/>
        <w:rPr>
          <w:highlight w:val="none"/>
        </w:rPr>
      </w:pPr>
      <w:r>
        <w:rPr>
          <w:rFonts w:cs="宋体"/>
          <w:sz w:val="24"/>
          <w:szCs w:val="18"/>
          <w:highlight w:val="cyan"/>
          <w:lang w:bidi="ar"/>
        </w:rPr>
        <w:br w:type="page"/>
      </w:r>
      <w:bookmarkStart w:id="14" w:name="_Toc154731047"/>
      <w:bookmarkStart w:id="15" w:name="_Toc32027"/>
      <w:bookmarkStart w:id="16" w:name="_Toc9852"/>
      <w:r>
        <w:rPr>
          <w:rFonts w:hint="eastAsia"/>
          <w:highlight w:val="none"/>
        </w:rPr>
        <w:t>第五章 采购合同</w:t>
      </w:r>
      <w:bookmarkEnd w:id="14"/>
      <w:bookmarkEnd w:id="15"/>
      <w:bookmarkEnd w:id="16"/>
    </w:p>
    <w:p>
      <w:pPr>
        <w:pStyle w:val="4"/>
        <w:rPr>
          <w:highlight w:val="none"/>
        </w:rPr>
      </w:pPr>
      <w:r>
        <w:rPr>
          <w:sz w:val="24"/>
          <w:highlight w:val="cyan"/>
        </w:rPr>
        <w:br w:type="page"/>
      </w:r>
      <w:bookmarkStart w:id="17" w:name="_Toc43727561"/>
      <w:bookmarkStart w:id="18" w:name="_Toc9152"/>
      <w:bookmarkStart w:id="19" w:name="_Toc154731048"/>
      <w:r>
        <w:rPr>
          <w:rFonts w:hint="eastAsia"/>
          <w:highlight w:val="none"/>
        </w:rPr>
        <w:t>第六章 响应文件格式</w:t>
      </w:r>
      <w:bookmarkEnd w:id="17"/>
      <w:bookmarkEnd w:id="18"/>
      <w:bookmarkEnd w:id="19"/>
    </w:p>
    <w:p>
      <w:pPr>
        <w:spacing w:line="500" w:lineRule="exact"/>
        <w:jc w:val="center"/>
        <w:rPr>
          <w:rFonts w:ascii="宋体" w:hAnsi="宋体"/>
          <w:b/>
          <w:sz w:val="32"/>
          <w:highlight w:val="none"/>
          <w:u w:val="single"/>
        </w:rPr>
      </w:pPr>
      <w:r>
        <w:rPr>
          <w:rFonts w:hint="eastAsia" w:ascii="宋体" w:hAnsi="宋体"/>
          <w:b/>
          <w:spacing w:val="20"/>
          <w:kern w:val="0"/>
          <w:sz w:val="32"/>
          <w:szCs w:val="32"/>
          <w:highlight w:val="none"/>
          <w:u w:val="single"/>
          <w:lang w:eastAsia="zh-CN"/>
        </w:rPr>
        <w:t>亳州学院2024至2026年度项目采购代理机构服务项目</w:t>
      </w:r>
    </w:p>
    <w:p>
      <w:pPr>
        <w:spacing w:line="900" w:lineRule="exact"/>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响</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应</w:t>
      </w:r>
    </w:p>
    <w:p>
      <w:pPr>
        <w:spacing w:line="900" w:lineRule="exact"/>
        <w:jc w:val="center"/>
        <w:rPr>
          <w:rFonts w:ascii="宋体" w:hAnsi="宋体"/>
          <w:b/>
          <w:sz w:val="72"/>
          <w:highlight w:val="none"/>
        </w:rPr>
      </w:pPr>
    </w:p>
    <w:p>
      <w:pPr>
        <w:spacing w:line="900" w:lineRule="exact"/>
        <w:jc w:val="center"/>
        <w:rPr>
          <w:rFonts w:ascii="宋体" w:hAnsi="宋体"/>
          <w:b/>
          <w:sz w:val="72"/>
          <w:highlight w:val="none"/>
        </w:rPr>
      </w:pPr>
      <w:r>
        <w:rPr>
          <w:rFonts w:hint="eastAsia" w:ascii="宋体" w:hAnsi="宋体"/>
          <w:b/>
          <w:sz w:val="72"/>
          <w:highlight w:val="none"/>
        </w:rPr>
        <w:t>文</w:t>
      </w:r>
    </w:p>
    <w:p>
      <w:pPr>
        <w:spacing w:line="900" w:lineRule="exact"/>
        <w:jc w:val="center"/>
        <w:rPr>
          <w:rFonts w:ascii="宋体" w:hAnsi="宋体"/>
          <w:b/>
          <w:sz w:val="72"/>
          <w:highlight w:val="none"/>
        </w:rPr>
      </w:pPr>
    </w:p>
    <w:p>
      <w:pPr>
        <w:jc w:val="center"/>
        <w:rPr>
          <w:rFonts w:ascii="宋体" w:hAnsi="宋体"/>
          <w:b/>
          <w:sz w:val="72"/>
          <w:highlight w:val="none"/>
        </w:rPr>
      </w:pPr>
      <w:r>
        <w:rPr>
          <w:rFonts w:hint="eastAsia" w:ascii="宋体" w:hAnsi="宋体"/>
          <w:b/>
          <w:sz w:val="72"/>
          <w:highlight w:val="none"/>
        </w:rPr>
        <w:t>件</w:t>
      </w:r>
    </w:p>
    <w:p>
      <w:pPr>
        <w:spacing w:after="120" w:afterLines="50"/>
        <w:jc w:val="center"/>
        <w:rPr>
          <w:rFonts w:ascii="宋体" w:hAnsi="宋体"/>
          <w:b/>
          <w:sz w:val="72"/>
          <w:highlight w:val="none"/>
        </w:rPr>
      </w:pPr>
    </w:p>
    <w:p>
      <w:pPr>
        <w:spacing w:after="120" w:afterLines="50" w:line="500" w:lineRule="exact"/>
        <w:jc w:val="center"/>
        <w:rPr>
          <w:rFonts w:ascii="宋体" w:hAnsi="宋体"/>
          <w:b/>
          <w:sz w:val="28"/>
          <w:szCs w:val="28"/>
          <w:highlight w:val="none"/>
        </w:rPr>
      </w:pPr>
    </w:p>
    <w:p>
      <w:pPr>
        <w:spacing w:after="120" w:afterLines="50" w:line="500" w:lineRule="exact"/>
        <w:jc w:val="center"/>
        <w:rPr>
          <w:rFonts w:ascii="宋体" w:hAnsi="宋体"/>
          <w:b/>
          <w:sz w:val="72"/>
          <w:highlight w:val="none"/>
        </w:rPr>
      </w:pPr>
    </w:p>
    <w:p>
      <w:pPr>
        <w:spacing w:after="120" w:afterLines="50" w:line="500" w:lineRule="exact"/>
        <w:ind w:firstLine="2522" w:firstLineChars="785"/>
        <w:rPr>
          <w:rFonts w:ascii="宋体" w:hAnsi="宋体"/>
          <w:b/>
          <w:sz w:val="32"/>
          <w:highlight w:val="none"/>
          <w:u w:val="single"/>
        </w:rPr>
      </w:pPr>
      <w:r>
        <w:rPr>
          <w:rFonts w:hint="eastAsia" w:ascii="宋体" w:hAnsi="宋体"/>
          <w:b/>
          <w:sz w:val="32"/>
          <w:highlight w:val="none"/>
        </w:rPr>
        <w:t>供应商：</w:t>
      </w:r>
      <w:r>
        <w:rPr>
          <w:rFonts w:hint="eastAsia" w:ascii="宋体" w:hAnsi="宋体"/>
          <w:b/>
          <w:sz w:val="32"/>
          <w:highlight w:val="none"/>
          <w:u w:val="single"/>
        </w:rPr>
        <w:t xml:space="preserve">               </w:t>
      </w:r>
    </w:p>
    <w:p>
      <w:pPr>
        <w:spacing w:after="120" w:afterLines="50" w:line="500" w:lineRule="exact"/>
        <w:jc w:val="center"/>
        <w:rPr>
          <w:rFonts w:ascii="宋体" w:hAnsi="宋体"/>
          <w:highlight w:val="none"/>
        </w:rPr>
      </w:pPr>
      <w:r>
        <w:rPr>
          <w:rFonts w:hint="eastAsia" w:ascii="宋体" w:hAnsi="宋体"/>
          <w:b/>
          <w:sz w:val="32"/>
          <w:highlight w:val="none"/>
          <w:u w:val="single"/>
        </w:rPr>
        <w:t xml:space="preserve">    </w:t>
      </w:r>
      <w:r>
        <w:rPr>
          <w:rFonts w:hint="eastAsia" w:ascii="宋体" w:hAnsi="宋体"/>
          <w:b/>
          <w:sz w:val="32"/>
          <w:highlight w:val="none"/>
        </w:rPr>
        <w:t>年</w:t>
      </w:r>
      <w:r>
        <w:rPr>
          <w:rFonts w:hint="eastAsia" w:ascii="宋体" w:hAnsi="宋体"/>
          <w:b/>
          <w:sz w:val="32"/>
          <w:highlight w:val="none"/>
          <w:u w:val="single"/>
        </w:rPr>
        <w:t xml:space="preserve">  </w:t>
      </w:r>
      <w:r>
        <w:rPr>
          <w:rFonts w:hint="eastAsia" w:ascii="宋体" w:hAnsi="宋体"/>
          <w:b/>
          <w:sz w:val="32"/>
          <w:highlight w:val="none"/>
        </w:rPr>
        <w:t>月</w:t>
      </w:r>
      <w:r>
        <w:rPr>
          <w:rFonts w:hint="eastAsia" w:ascii="宋体" w:hAnsi="宋体"/>
          <w:b/>
          <w:sz w:val="32"/>
          <w:highlight w:val="none"/>
          <w:u w:val="single"/>
        </w:rPr>
        <w:t xml:space="preserve">  </w:t>
      </w:r>
      <w:r>
        <w:rPr>
          <w:rFonts w:hint="eastAsia" w:ascii="宋体" w:hAnsi="宋体"/>
          <w:b/>
          <w:sz w:val="32"/>
          <w:highlight w:val="none"/>
        </w:rPr>
        <w:t>日</w:t>
      </w:r>
    </w:p>
    <w:p>
      <w:pPr>
        <w:jc w:val="center"/>
        <w:rPr>
          <w:rFonts w:ascii="宋体" w:hAnsi="宋体"/>
          <w:highlight w:val="cyan"/>
        </w:rPr>
      </w:pPr>
    </w:p>
    <w:p>
      <w:pPr>
        <w:jc w:val="center"/>
        <w:rPr>
          <w:rFonts w:ascii="宋体" w:hAnsi="宋体"/>
          <w:highlight w:val="cyan"/>
        </w:rPr>
      </w:pPr>
    </w:p>
    <w:p>
      <w:pPr>
        <w:pStyle w:val="43"/>
        <w:rPr>
          <w:rFonts w:ascii="宋体" w:hAnsi="宋体" w:eastAsia="宋体"/>
          <w:highlight w:val="none"/>
        </w:rPr>
      </w:pPr>
      <w:r>
        <w:rPr>
          <w:highlight w:val="cyan"/>
        </w:rPr>
        <w:br w:type="page"/>
      </w:r>
      <w:r>
        <w:rPr>
          <w:rFonts w:hint="eastAsia" w:ascii="宋体" w:hAnsi="宋体" w:eastAsia="宋体"/>
          <w:highlight w:val="none"/>
        </w:rPr>
        <w:t>响应文件资料清单</w:t>
      </w:r>
    </w:p>
    <w:tbl>
      <w:tblPr>
        <w:tblStyle w:val="58"/>
        <w:tblW w:w="4797" w:type="pct"/>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5"/>
        <w:gridCol w:w="7216"/>
        <w:gridCol w:w="1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spacing w:line="400" w:lineRule="exact"/>
              <w:jc w:val="center"/>
              <w:rPr>
                <w:rFonts w:ascii="宋体" w:hAnsi="宋体"/>
                <w:b/>
                <w:sz w:val="24"/>
                <w:highlight w:val="none"/>
              </w:rPr>
            </w:pPr>
            <w:r>
              <w:rPr>
                <w:rFonts w:hint="eastAsia" w:ascii="宋体" w:hAnsi="宋体"/>
                <w:b/>
                <w:sz w:val="24"/>
                <w:highlight w:val="none"/>
              </w:rPr>
              <w:t>序号</w:t>
            </w:r>
          </w:p>
        </w:tc>
        <w:tc>
          <w:tcPr>
            <w:tcW w:w="3817" w:type="pct"/>
            <w:vAlign w:val="center"/>
          </w:tcPr>
          <w:p>
            <w:pPr>
              <w:spacing w:line="400" w:lineRule="exact"/>
              <w:jc w:val="center"/>
              <w:rPr>
                <w:rFonts w:ascii="宋体" w:hAnsi="宋体"/>
                <w:b/>
                <w:sz w:val="24"/>
                <w:highlight w:val="none"/>
              </w:rPr>
            </w:pPr>
            <w:r>
              <w:rPr>
                <w:rFonts w:hint="eastAsia" w:ascii="宋体" w:hAnsi="宋体"/>
                <w:b/>
                <w:sz w:val="24"/>
                <w:highlight w:val="none"/>
              </w:rPr>
              <w:t>资料名称</w:t>
            </w:r>
          </w:p>
        </w:tc>
        <w:tc>
          <w:tcPr>
            <w:tcW w:w="644" w:type="pct"/>
            <w:vAlign w:val="center"/>
          </w:tcPr>
          <w:p>
            <w:pPr>
              <w:spacing w:line="400" w:lineRule="exact"/>
              <w:jc w:val="center"/>
              <w:rPr>
                <w:rFonts w:ascii="宋体" w:hAns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sz w:val="24"/>
                <w:highlight w:val="none"/>
              </w:rPr>
            </w:pPr>
          </w:p>
        </w:tc>
        <w:tc>
          <w:tcPr>
            <w:tcW w:w="3817" w:type="pct"/>
            <w:vAlign w:val="center"/>
          </w:tcPr>
          <w:p>
            <w:pPr>
              <w:rPr>
                <w:rFonts w:ascii="宋体" w:hAnsi="宋体"/>
                <w:highlight w:val="none"/>
                <w:u w:val="single"/>
              </w:rPr>
            </w:pPr>
            <w:r>
              <w:rPr>
                <w:rFonts w:hint="eastAsia" w:ascii="宋体" w:hAnsi="宋体"/>
                <w:bCs/>
                <w:sz w:val="24"/>
                <w:highlight w:val="none"/>
                <w:lang w:eastAsia="zh-CN"/>
              </w:rPr>
              <w:t>比选</w:t>
            </w:r>
            <w:r>
              <w:rPr>
                <w:rFonts w:hint="eastAsia" w:ascii="宋体" w:hAnsi="宋体"/>
                <w:bCs/>
                <w:sz w:val="24"/>
                <w:highlight w:val="none"/>
              </w:rPr>
              <w:t>响应函</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bCs/>
                <w:sz w:val="24"/>
                <w:highlight w:val="none"/>
              </w:rPr>
            </w:pPr>
          </w:p>
        </w:tc>
        <w:tc>
          <w:tcPr>
            <w:tcW w:w="3817" w:type="pct"/>
            <w:vAlign w:val="center"/>
          </w:tcPr>
          <w:p>
            <w:pPr>
              <w:rPr>
                <w:sz w:val="24"/>
                <w:szCs w:val="24"/>
                <w:highlight w:val="none"/>
                <w:lang w:bidi="ar"/>
              </w:rPr>
            </w:pPr>
            <w:r>
              <w:rPr>
                <w:rFonts w:hint="eastAsia"/>
                <w:sz w:val="24"/>
                <w:szCs w:val="24"/>
                <w:highlight w:val="none"/>
                <w:lang w:bidi="ar"/>
              </w:rPr>
              <w:t>响应报价表</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bCs/>
                <w:sz w:val="24"/>
                <w:highlight w:val="none"/>
              </w:rPr>
            </w:pPr>
          </w:p>
        </w:tc>
        <w:tc>
          <w:tcPr>
            <w:tcW w:w="3817" w:type="pct"/>
            <w:vAlign w:val="center"/>
          </w:tcPr>
          <w:p>
            <w:pPr>
              <w:rPr>
                <w:rFonts w:ascii="宋体" w:hAnsi="宋体"/>
                <w:bCs/>
                <w:sz w:val="24"/>
                <w:szCs w:val="24"/>
                <w:highlight w:val="none"/>
              </w:rPr>
            </w:pPr>
            <w:r>
              <w:rPr>
                <w:sz w:val="24"/>
                <w:szCs w:val="24"/>
                <w:highlight w:val="none"/>
                <w:lang w:bidi="ar"/>
              </w:rPr>
              <w:t>无重大违法记录声明函、无不良信用记录声明函</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bCs/>
                <w:sz w:val="24"/>
                <w:highlight w:val="none"/>
              </w:rPr>
            </w:pPr>
          </w:p>
        </w:tc>
        <w:tc>
          <w:tcPr>
            <w:tcW w:w="3817" w:type="pct"/>
            <w:vAlign w:val="center"/>
          </w:tcPr>
          <w:p>
            <w:pPr>
              <w:rPr>
                <w:rFonts w:ascii="宋体" w:hAnsi="宋体"/>
                <w:bCs/>
                <w:sz w:val="24"/>
                <w:highlight w:val="none"/>
              </w:rPr>
            </w:pPr>
            <w:r>
              <w:rPr>
                <w:rFonts w:hint="eastAsia" w:ascii="宋体" w:hAnsi="宋体"/>
                <w:bCs/>
                <w:sz w:val="24"/>
                <w:highlight w:val="none"/>
              </w:rPr>
              <w:t>授权委托书</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bCs/>
                <w:sz w:val="24"/>
                <w:highlight w:val="none"/>
              </w:rPr>
            </w:pPr>
          </w:p>
        </w:tc>
        <w:tc>
          <w:tcPr>
            <w:tcW w:w="3817" w:type="pct"/>
            <w:vAlign w:val="center"/>
          </w:tcPr>
          <w:p>
            <w:pPr>
              <w:rPr>
                <w:rFonts w:ascii="宋体" w:hAnsi="宋体"/>
                <w:bCs/>
                <w:sz w:val="24"/>
                <w:highlight w:val="none"/>
              </w:rPr>
            </w:pPr>
            <w:r>
              <w:rPr>
                <w:rFonts w:hint="eastAsia" w:ascii="宋体" w:hAnsi="宋体"/>
                <w:bCs/>
                <w:sz w:val="24"/>
                <w:highlight w:val="none"/>
              </w:rPr>
              <w:t>响应表</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sz w:val="24"/>
                <w:highlight w:val="none"/>
              </w:rPr>
            </w:pPr>
          </w:p>
        </w:tc>
        <w:tc>
          <w:tcPr>
            <w:tcW w:w="3817" w:type="pct"/>
            <w:vAlign w:val="center"/>
          </w:tcPr>
          <w:p>
            <w:pPr>
              <w:pStyle w:val="182"/>
              <w:rPr>
                <w:rFonts w:ascii="宋体" w:hAnsi="宋体"/>
                <w:bCs/>
                <w:highlight w:val="none"/>
              </w:rPr>
            </w:pPr>
            <w:r>
              <w:rPr>
                <w:rFonts w:hint="eastAsia" w:ascii="宋体" w:hAnsi="宋体"/>
                <w:bCs/>
                <w:highlight w:val="none"/>
              </w:rPr>
              <w:t>人员配备</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sz w:val="24"/>
                <w:highlight w:val="none"/>
              </w:rPr>
            </w:pPr>
          </w:p>
        </w:tc>
        <w:tc>
          <w:tcPr>
            <w:tcW w:w="3817" w:type="pct"/>
            <w:vAlign w:val="center"/>
          </w:tcPr>
          <w:p>
            <w:pPr>
              <w:rPr>
                <w:rFonts w:ascii="宋体" w:hAnsi="宋体"/>
                <w:bCs/>
                <w:sz w:val="24"/>
                <w:highlight w:val="none"/>
              </w:rPr>
            </w:pPr>
            <w:r>
              <w:rPr>
                <w:rFonts w:hint="eastAsia" w:ascii="宋体" w:hAnsi="宋体"/>
                <w:bCs/>
                <w:sz w:val="24"/>
                <w:highlight w:val="none"/>
              </w:rPr>
              <w:t>服务方案</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sz w:val="24"/>
                <w:highlight w:val="none"/>
              </w:rPr>
            </w:pPr>
          </w:p>
        </w:tc>
        <w:tc>
          <w:tcPr>
            <w:tcW w:w="3817" w:type="pct"/>
            <w:vAlign w:val="center"/>
          </w:tcPr>
          <w:p>
            <w:pPr>
              <w:rPr>
                <w:rFonts w:ascii="宋体" w:hAnsi="宋体"/>
                <w:sz w:val="24"/>
                <w:highlight w:val="none"/>
              </w:rPr>
            </w:pPr>
            <w:r>
              <w:rPr>
                <w:rFonts w:hint="eastAsia" w:ascii="宋体" w:hAnsi="宋体"/>
                <w:sz w:val="24"/>
                <w:highlight w:val="none"/>
                <w:lang w:eastAsia="zh-CN"/>
              </w:rPr>
              <w:t>比选</w:t>
            </w:r>
            <w:r>
              <w:rPr>
                <w:rFonts w:hint="eastAsia" w:ascii="宋体" w:hAnsi="宋体"/>
                <w:sz w:val="24"/>
                <w:highlight w:val="none"/>
              </w:rPr>
              <w:t>业绩承诺函</w:t>
            </w:r>
          </w:p>
        </w:tc>
        <w:tc>
          <w:tcPr>
            <w:tcW w:w="644" w:type="pct"/>
            <w:vAlign w:val="center"/>
          </w:tcPr>
          <w:p>
            <w:pPr>
              <w:spacing w:line="360" w:lineRule="auto"/>
              <w:jc w:val="center"/>
              <w:rPr>
                <w:rFonts w:ascii="宋体" w:hAnsi="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37" w:type="pct"/>
            <w:vAlign w:val="center"/>
          </w:tcPr>
          <w:p>
            <w:pPr>
              <w:numPr>
                <w:ilvl w:val="0"/>
                <w:numId w:val="7"/>
              </w:numPr>
              <w:ind w:left="0" w:leftChars="0" w:firstLine="0" w:firstLineChars="0"/>
              <w:jc w:val="center"/>
              <w:rPr>
                <w:rFonts w:ascii="宋体" w:hAnsi="宋体"/>
                <w:sz w:val="24"/>
                <w:highlight w:val="none"/>
              </w:rPr>
            </w:pPr>
          </w:p>
        </w:tc>
        <w:tc>
          <w:tcPr>
            <w:tcW w:w="3817" w:type="pct"/>
            <w:vAlign w:val="center"/>
          </w:tcPr>
          <w:p>
            <w:pPr>
              <w:rPr>
                <w:rFonts w:ascii="宋体" w:hAnsi="宋体"/>
                <w:sz w:val="24"/>
                <w:highlight w:val="none"/>
              </w:rPr>
            </w:pPr>
            <w:r>
              <w:rPr>
                <w:rFonts w:hint="eastAsia" w:ascii="宋体" w:hAnsi="宋体"/>
                <w:sz w:val="24"/>
                <w:highlight w:val="none"/>
              </w:rPr>
              <w:t>其他相关证明材料</w:t>
            </w:r>
          </w:p>
        </w:tc>
        <w:tc>
          <w:tcPr>
            <w:tcW w:w="644" w:type="pct"/>
            <w:vAlign w:val="center"/>
          </w:tcPr>
          <w:p>
            <w:pPr>
              <w:spacing w:line="360" w:lineRule="auto"/>
              <w:jc w:val="center"/>
              <w:rPr>
                <w:rFonts w:ascii="宋体" w:hAnsi="宋体"/>
                <w:b/>
                <w:sz w:val="24"/>
                <w:highlight w:val="none"/>
              </w:rPr>
            </w:pPr>
          </w:p>
        </w:tc>
      </w:tr>
    </w:tbl>
    <w:p>
      <w:pPr>
        <w:pStyle w:val="5"/>
        <w:spacing w:after="54" w:afterAutospacing="0"/>
        <w:rPr>
          <w:highlight w:val="none"/>
          <w:lang w:bidi="ar"/>
        </w:rPr>
      </w:pPr>
      <w:r>
        <w:rPr>
          <w:highlight w:val="cyan"/>
        </w:rPr>
        <w:br w:type="page"/>
      </w:r>
      <w:bookmarkStart w:id="20" w:name="_Toc12461"/>
      <w:bookmarkStart w:id="21" w:name="_Toc154731049"/>
      <w:r>
        <w:rPr>
          <w:rFonts w:hint="eastAsia"/>
          <w:highlight w:val="none"/>
        </w:rPr>
        <w:t>一、</w:t>
      </w:r>
      <w:r>
        <w:rPr>
          <w:highlight w:val="none"/>
          <w:lang w:bidi="ar"/>
        </w:rPr>
        <w:t>响应函</w:t>
      </w:r>
      <w:bookmarkEnd w:id="20"/>
      <w:bookmarkEnd w:id="21"/>
    </w:p>
    <w:p>
      <w:pPr>
        <w:spacing w:beforeAutospacing="0" w:line="360" w:lineRule="auto"/>
        <w:rPr>
          <w:rFonts w:hint="eastAsia" w:ascii="宋体" w:hAnsi="宋体" w:eastAsia="宋体" w:cs="宋体"/>
          <w:b/>
          <w:sz w:val="24"/>
          <w:szCs w:val="18"/>
          <w:highlight w:val="none"/>
          <w:lang w:eastAsia="zh-CN" w:bidi="ar"/>
        </w:rPr>
      </w:pPr>
      <w:r>
        <w:rPr>
          <w:rFonts w:ascii="宋体" w:hAnsi="宋体" w:cs="宋体"/>
          <w:b/>
          <w:sz w:val="24"/>
          <w:szCs w:val="18"/>
          <w:highlight w:val="none"/>
          <w:lang w:bidi="ar"/>
        </w:rPr>
        <w:t>致：</w:t>
      </w:r>
      <w:r>
        <w:rPr>
          <w:rFonts w:hint="eastAsia" w:ascii="宋体" w:hAnsi="宋体" w:cs="宋体"/>
          <w:b/>
          <w:sz w:val="24"/>
          <w:szCs w:val="18"/>
          <w:highlight w:val="none"/>
          <w:lang w:eastAsia="zh-CN" w:bidi="ar"/>
        </w:rPr>
        <w:t>亳州学院</w:t>
      </w:r>
    </w:p>
    <w:p>
      <w:pPr>
        <w:autoSpaceDE w:val="0"/>
        <w:autoSpaceDN w:val="0"/>
        <w:adjustRightInd w:val="0"/>
        <w:spacing w:line="360" w:lineRule="auto"/>
        <w:ind w:firstLine="480" w:firstLineChars="200"/>
        <w:jc w:val="left"/>
        <w:rPr>
          <w:rFonts w:ascii="宋体" w:hAnsi="宋体" w:cs="宋体"/>
          <w:sz w:val="24"/>
          <w:szCs w:val="18"/>
          <w:highlight w:val="none"/>
          <w:lang w:bidi="ar"/>
        </w:rPr>
      </w:pPr>
      <w:r>
        <w:rPr>
          <w:rFonts w:hint="eastAsia" w:ascii="宋体" w:hAnsi="宋体" w:cs="宋体"/>
          <w:sz w:val="24"/>
          <w:szCs w:val="18"/>
          <w:highlight w:val="none"/>
          <w:lang w:bidi="ar"/>
        </w:rPr>
        <w:t>1. 我方已仔细研究了编号为</w:t>
      </w:r>
      <w:r>
        <w:rPr>
          <w:rFonts w:hint="eastAsia" w:ascii="Times New Roman" w:hAnsi="Times New Roman"/>
          <w:sz w:val="24"/>
          <w:szCs w:val="18"/>
          <w:highlight w:val="yellow"/>
          <w:u w:val="single"/>
          <w:lang w:val="en-US" w:eastAsia="zh-CN"/>
        </w:rPr>
        <w:t xml:space="preserve">            </w:t>
      </w:r>
      <w:r>
        <w:rPr>
          <w:rFonts w:hint="eastAsia" w:ascii="宋体" w:hAnsi="宋体" w:cs="宋体"/>
          <w:sz w:val="24"/>
          <w:szCs w:val="18"/>
          <w:highlight w:val="yellow"/>
          <w:lang w:bidi="ar"/>
        </w:rPr>
        <w:t>（项目编号）</w:t>
      </w:r>
      <w:r>
        <w:rPr>
          <w:rFonts w:hint="eastAsia" w:ascii="宋体" w:hAnsi="宋体" w:cs="宋体"/>
          <w:sz w:val="24"/>
          <w:szCs w:val="18"/>
          <w:highlight w:val="none"/>
          <w:lang w:bidi="ar"/>
        </w:rPr>
        <w:t>的</w:t>
      </w:r>
      <w:r>
        <w:rPr>
          <w:rFonts w:hint="eastAsia" w:ascii="Times New Roman" w:hAnsi="Times New Roman"/>
          <w:sz w:val="24"/>
          <w:szCs w:val="18"/>
          <w:highlight w:val="none"/>
          <w:u w:val="single"/>
          <w:lang w:eastAsia="zh-CN"/>
        </w:rPr>
        <w:t>亳州学院2024至2026年度项目采购代理机构服务项目</w:t>
      </w:r>
      <w:r>
        <w:rPr>
          <w:rFonts w:hint="eastAsia" w:ascii="宋体" w:hAnsi="宋体" w:cs="宋体"/>
          <w:sz w:val="24"/>
          <w:szCs w:val="18"/>
          <w:highlight w:val="none"/>
          <w:lang w:bidi="ar"/>
        </w:rPr>
        <w:t>（项目名称）</w:t>
      </w:r>
      <w:r>
        <w:rPr>
          <w:rFonts w:hint="eastAsia" w:ascii="宋体" w:hAnsi="宋体" w:cs="宋体"/>
          <w:sz w:val="24"/>
          <w:szCs w:val="18"/>
          <w:highlight w:val="none"/>
          <w:lang w:eastAsia="zh-CN" w:bidi="ar"/>
        </w:rPr>
        <w:t>比选文件</w:t>
      </w:r>
      <w:r>
        <w:rPr>
          <w:rFonts w:hint="eastAsia" w:ascii="宋体" w:hAnsi="宋体" w:cs="宋体"/>
          <w:sz w:val="24"/>
          <w:szCs w:val="18"/>
          <w:highlight w:val="none"/>
          <w:lang w:bidi="ar"/>
        </w:rPr>
        <w:t>的全部内容，接受你方在</w:t>
      </w:r>
      <w:r>
        <w:rPr>
          <w:rFonts w:hint="eastAsia" w:ascii="宋体" w:hAnsi="宋体" w:cs="宋体"/>
          <w:sz w:val="24"/>
          <w:szCs w:val="18"/>
          <w:highlight w:val="none"/>
          <w:lang w:eastAsia="zh-CN" w:bidi="ar"/>
        </w:rPr>
        <w:t>比选文件</w:t>
      </w:r>
      <w:r>
        <w:rPr>
          <w:rFonts w:hint="eastAsia" w:ascii="宋体" w:hAnsi="宋体" w:cs="宋体"/>
          <w:sz w:val="24"/>
          <w:szCs w:val="18"/>
          <w:highlight w:val="none"/>
          <w:lang w:bidi="ar"/>
        </w:rPr>
        <w:t>中对供应商的约束条件。我方愿意以我方承诺的内容，按照合同的约定履行合同义务。</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bidi="ar"/>
        </w:rPr>
        <w:t>2. 我方承诺在</w:t>
      </w:r>
      <w:r>
        <w:rPr>
          <w:rFonts w:hint="eastAsia" w:ascii="宋体" w:hAnsi="宋体" w:cs="宋体"/>
          <w:sz w:val="24"/>
          <w:szCs w:val="18"/>
          <w:highlight w:val="none"/>
          <w:lang w:eastAsia="zh-CN" w:bidi="ar"/>
        </w:rPr>
        <w:t>比选文件</w:t>
      </w:r>
      <w:r>
        <w:rPr>
          <w:rFonts w:hint="eastAsia" w:ascii="宋体" w:hAnsi="宋体" w:cs="宋体"/>
          <w:sz w:val="24"/>
          <w:szCs w:val="18"/>
          <w:highlight w:val="none"/>
          <w:lang w:bidi="ar"/>
        </w:rPr>
        <w:t>规定的响应文件有效期内不修改、撤销响应文件，且随时准备接受你方发出的成交通知书。</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3</w:t>
      </w:r>
      <w:r>
        <w:rPr>
          <w:rFonts w:hint="eastAsia" w:ascii="宋体" w:hAnsi="宋体" w:cs="宋体"/>
          <w:sz w:val="24"/>
          <w:szCs w:val="18"/>
          <w:highlight w:val="none"/>
          <w:lang w:bidi="ar"/>
        </w:rPr>
        <w:t>. 我方已详细审查全部</w:t>
      </w:r>
      <w:r>
        <w:rPr>
          <w:rFonts w:hint="eastAsia" w:ascii="宋体" w:hAnsi="宋体" w:cs="宋体"/>
          <w:sz w:val="24"/>
          <w:szCs w:val="18"/>
          <w:highlight w:val="none"/>
          <w:lang w:eastAsia="zh-CN" w:bidi="ar"/>
        </w:rPr>
        <w:t>比选文件</w:t>
      </w:r>
      <w:r>
        <w:rPr>
          <w:rFonts w:hint="eastAsia" w:ascii="宋体" w:hAnsi="宋体" w:cs="宋体"/>
          <w:sz w:val="24"/>
          <w:szCs w:val="18"/>
          <w:highlight w:val="none"/>
          <w:lang w:bidi="ar"/>
        </w:rPr>
        <w:t>，包括全部澄清、修改、答疑和补充文件，我方正式认可并遵守本次</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文件，并对</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文件各项条款、规定及要求均无异议。我们完全理解并同意放弃对这方面有不明及误解的权力。</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4</w:t>
      </w:r>
      <w:r>
        <w:rPr>
          <w:rFonts w:hint="eastAsia" w:ascii="宋体" w:hAnsi="宋体" w:cs="宋体"/>
          <w:sz w:val="24"/>
          <w:szCs w:val="18"/>
          <w:highlight w:val="none"/>
          <w:lang w:bidi="ar"/>
        </w:rPr>
        <w:t>. 我方在此声明，所提交的响应文件及有关资料内容完整、真实和准确，我方同意从供应商须知规定的</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日期起遵循本</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文件，并在供应商须知规定的</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有效期之前均具有约束力。</w:t>
      </w:r>
      <w:r>
        <w:rPr>
          <w:rFonts w:ascii="宋体" w:hAnsi="宋体" w:cs="宋体"/>
          <w:sz w:val="24"/>
          <w:szCs w:val="18"/>
          <w:highlight w:val="none"/>
          <w:lang w:bidi="ar"/>
        </w:rPr>
        <w:t>我方同意</w:t>
      </w:r>
      <w:r>
        <w:rPr>
          <w:rFonts w:hint="eastAsia" w:ascii="宋体" w:hAnsi="宋体" w:cs="宋体"/>
          <w:sz w:val="24"/>
          <w:szCs w:val="18"/>
          <w:highlight w:val="none"/>
          <w:lang w:eastAsia="zh-CN" w:bidi="ar"/>
        </w:rPr>
        <w:t>比选</w:t>
      </w:r>
      <w:r>
        <w:rPr>
          <w:rFonts w:ascii="宋体" w:hAnsi="宋体" w:cs="宋体"/>
          <w:sz w:val="24"/>
          <w:szCs w:val="18"/>
          <w:highlight w:val="none"/>
          <w:lang w:bidi="ar"/>
        </w:rPr>
        <w:t>文件规定的付款方式、服务期限。</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5</w:t>
      </w:r>
      <w:r>
        <w:rPr>
          <w:rFonts w:hint="eastAsia" w:ascii="宋体" w:hAnsi="宋体" w:cs="宋体"/>
          <w:sz w:val="24"/>
          <w:szCs w:val="18"/>
          <w:highlight w:val="none"/>
          <w:lang w:bidi="ar"/>
        </w:rPr>
        <w:t>.</w:t>
      </w:r>
      <w:r>
        <w:rPr>
          <w:rFonts w:ascii="宋体" w:hAnsi="宋体" w:cs="宋体"/>
          <w:sz w:val="24"/>
          <w:szCs w:val="18"/>
          <w:highlight w:val="none"/>
          <w:lang w:bidi="ar"/>
        </w:rPr>
        <w:t xml:space="preserve"> 我方同意按贵方要求在</w:t>
      </w:r>
      <w:r>
        <w:rPr>
          <w:rFonts w:hint="eastAsia" w:ascii="宋体" w:hAnsi="宋体" w:cs="宋体"/>
          <w:sz w:val="24"/>
          <w:szCs w:val="18"/>
          <w:highlight w:val="none"/>
          <w:lang w:eastAsia="zh-CN" w:bidi="ar"/>
        </w:rPr>
        <w:t>比选</w:t>
      </w:r>
      <w:r>
        <w:rPr>
          <w:rFonts w:ascii="宋体" w:hAnsi="宋体" w:cs="宋体"/>
          <w:sz w:val="24"/>
          <w:szCs w:val="18"/>
          <w:highlight w:val="none"/>
          <w:lang w:bidi="ar"/>
        </w:rPr>
        <w:t>现场规定时间内向贵方提供与</w:t>
      </w:r>
      <w:r>
        <w:rPr>
          <w:rFonts w:hint="eastAsia" w:ascii="宋体" w:hAnsi="宋体" w:cs="宋体"/>
          <w:sz w:val="24"/>
          <w:szCs w:val="18"/>
          <w:highlight w:val="none"/>
          <w:lang w:eastAsia="zh-CN" w:bidi="ar"/>
        </w:rPr>
        <w:t>比选</w:t>
      </w:r>
      <w:r>
        <w:rPr>
          <w:rFonts w:ascii="宋体" w:hAnsi="宋体" w:cs="宋体"/>
          <w:sz w:val="24"/>
          <w:szCs w:val="18"/>
          <w:highlight w:val="none"/>
          <w:lang w:bidi="ar"/>
        </w:rPr>
        <w:t>有关的任何证据或补充资料，否则，我方的响应文件可被贵方拒绝。</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6</w:t>
      </w:r>
      <w:r>
        <w:rPr>
          <w:rFonts w:hint="eastAsia" w:ascii="宋体" w:hAnsi="宋体" w:cs="宋体"/>
          <w:sz w:val="24"/>
          <w:szCs w:val="18"/>
          <w:highlight w:val="none"/>
          <w:lang w:bidi="ar"/>
        </w:rPr>
        <w:t>. 如我方被确定为成交供应商：</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bidi="ar"/>
        </w:rPr>
        <w:t>（1）我方承诺在收到成交通知书后，在成交通知书规定的期限内与你方签订合同；</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bidi="ar"/>
        </w:rPr>
        <w:t>（2）在签订合同时不向你方提出附加条件；</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bidi="ar"/>
        </w:rPr>
        <w:t>（</w:t>
      </w:r>
      <w:r>
        <w:rPr>
          <w:rFonts w:hint="eastAsia" w:ascii="宋体" w:hAnsi="宋体" w:cs="宋体"/>
          <w:sz w:val="24"/>
          <w:szCs w:val="18"/>
          <w:highlight w:val="none"/>
          <w:lang w:val="en-US" w:eastAsia="zh-CN" w:bidi="ar"/>
        </w:rPr>
        <w:t>3</w:t>
      </w:r>
      <w:r>
        <w:rPr>
          <w:rFonts w:hint="eastAsia" w:ascii="宋体" w:hAnsi="宋体" w:cs="宋体"/>
          <w:sz w:val="24"/>
          <w:szCs w:val="18"/>
          <w:highlight w:val="none"/>
          <w:lang w:bidi="ar"/>
        </w:rPr>
        <w:t>）我方承诺在合同约定的期限内提供并交付货物及服务，履行合同规定的各项义务。</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7</w:t>
      </w:r>
      <w:r>
        <w:rPr>
          <w:rFonts w:hint="eastAsia" w:ascii="宋体" w:hAnsi="宋体" w:cs="宋体"/>
          <w:sz w:val="24"/>
          <w:szCs w:val="18"/>
          <w:highlight w:val="none"/>
          <w:lang w:bidi="ar"/>
        </w:rPr>
        <w:t>. 我方同意按照你方要求提供与我方参与</w:t>
      </w:r>
      <w:r>
        <w:rPr>
          <w:rFonts w:hint="eastAsia" w:ascii="宋体" w:hAnsi="宋体" w:cs="宋体"/>
          <w:sz w:val="24"/>
          <w:szCs w:val="18"/>
          <w:highlight w:val="none"/>
          <w:lang w:eastAsia="zh-CN" w:bidi="ar"/>
        </w:rPr>
        <w:t>比选</w:t>
      </w:r>
      <w:r>
        <w:rPr>
          <w:rFonts w:hint="eastAsia" w:ascii="宋体" w:hAnsi="宋体" w:cs="宋体"/>
          <w:sz w:val="24"/>
          <w:szCs w:val="18"/>
          <w:highlight w:val="none"/>
          <w:lang w:bidi="ar"/>
        </w:rPr>
        <w:t>有关的一切数据或资料。</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val="en-US" w:eastAsia="zh-CN" w:bidi="ar"/>
        </w:rPr>
        <w:t>8</w:t>
      </w:r>
      <w:r>
        <w:rPr>
          <w:rFonts w:hint="eastAsia" w:ascii="宋体" w:hAnsi="宋体" w:cs="宋体"/>
          <w:sz w:val="24"/>
          <w:szCs w:val="18"/>
          <w:highlight w:val="none"/>
          <w:lang w:bidi="ar"/>
        </w:rPr>
        <w:t>. 我方对响应文件中所提供资料、文件、证书及证件的真实性、合法性和有效性负责。</w:t>
      </w:r>
    </w:p>
    <w:p>
      <w:pPr>
        <w:spacing w:line="360" w:lineRule="auto"/>
        <w:ind w:firstLine="480" w:firstLineChars="200"/>
        <w:rPr>
          <w:rFonts w:ascii="宋体" w:hAnsi="宋体" w:cs="宋体"/>
          <w:sz w:val="24"/>
          <w:szCs w:val="18"/>
          <w:highlight w:val="none"/>
          <w:lang w:bidi="ar"/>
        </w:rPr>
      </w:pPr>
      <w:r>
        <w:rPr>
          <w:rFonts w:hint="eastAsia" w:ascii="宋体" w:hAnsi="宋体" w:cs="宋体"/>
          <w:sz w:val="24"/>
          <w:szCs w:val="18"/>
          <w:highlight w:val="none"/>
          <w:lang w:bidi="ar"/>
        </w:rPr>
        <w:t>9. 其他补充说明：</w:t>
      </w:r>
      <w:r>
        <w:rPr>
          <w:rFonts w:hint="eastAsia" w:ascii="宋体" w:hAnsi="宋体" w:cs="宋体"/>
          <w:sz w:val="24"/>
          <w:szCs w:val="18"/>
          <w:highlight w:val="none"/>
          <w:u w:val="single"/>
          <w:lang w:bidi="ar"/>
        </w:rPr>
        <w:t xml:space="preserve">                        </w:t>
      </w:r>
      <w:r>
        <w:rPr>
          <w:rFonts w:hint="eastAsia" w:ascii="宋体" w:hAnsi="宋体" w:cs="宋体"/>
          <w:sz w:val="24"/>
          <w:szCs w:val="18"/>
          <w:highlight w:val="none"/>
          <w:lang w:bidi="ar"/>
        </w:rPr>
        <w:t xml:space="preserve">    </w:t>
      </w:r>
    </w:p>
    <w:p>
      <w:pPr>
        <w:pStyle w:val="154"/>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sz w:val="24"/>
          <w:szCs w:val="24"/>
          <w:highlight w:val="none"/>
        </w:rPr>
      </w:pPr>
      <w:r>
        <w:rPr>
          <w:rFonts w:hint="eastAsia" w:ascii="宋体" w:hAnsi="宋体" w:cs="宋体"/>
          <w:sz w:val="24"/>
          <w:szCs w:val="24"/>
          <w:highlight w:val="none"/>
        </w:rPr>
        <w:t>供应商：</w:t>
      </w:r>
      <w:r>
        <w:rPr>
          <w:rFonts w:hint="eastAsia" w:ascii="宋体" w:hAnsi="宋体" w:cs="宋体"/>
          <w:spacing w:val="42"/>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（盖</w:t>
      </w:r>
      <w:r>
        <w:rPr>
          <w:rFonts w:hint="eastAsia" w:ascii="宋体" w:hAnsi="宋体" w:cs="宋体"/>
          <w:spacing w:val="-1"/>
          <w:sz w:val="24"/>
          <w:szCs w:val="24"/>
          <w:highlight w:val="none"/>
        </w:rPr>
        <w:t>单</w:t>
      </w:r>
      <w:r>
        <w:rPr>
          <w:rFonts w:hint="eastAsia" w:ascii="宋体" w:hAnsi="宋体" w:cs="宋体"/>
          <w:sz w:val="24"/>
          <w:szCs w:val="24"/>
          <w:highlight w:val="none"/>
        </w:rPr>
        <w:t>位章）</w:t>
      </w:r>
    </w:p>
    <w:p>
      <w:pPr>
        <w:pStyle w:val="154"/>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sz w:val="24"/>
          <w:szCs w:val="24"/>
          <w:highlight w:val="none"/>
        </w:rPr>
      </w:pPr>
      <w:r>
        <w:rPr>
          <w:rFonts w:hint="eastAsia" w:ascii="宋体" w:hAnsi="宋体" w:cs="宋体"/>
          <w:sz w:val="24"/>
          <w:szCs w:val="24"/>
          <w:highlight w:val="none"/>
        </w:rPr>
        <w:t>法定代表人（单位负责人）或其委托代理人</w:t>
      </w:r>
      <w:r>
        <w:rPr>
          <w:rFonts w:hint="eastAsia" w:ascii="宋体" w:hAnsi="宋体" w:cs="宋体"/>
          <w:spacing w:val="1"/>
          <w:sz w:val="24"/>
          <w:szCs w:val="24"/>
          <w:highlight w:val="none"/>
        </w:rPr>
        <w:t>：</w:t>
      </w:r>
      <w:r>
        <w:rPr>
          <w:rFonts w:hint="eastAsia" w:ascii="宋体" w:hAnsi="宋体" w:cs="宋体"/>
          <w:spacing w:val="42"/>
          <w:sz w:val="24"/>
          <w:szCs w:val="24"/>
          <w:highlight w:val="none"/>
          <w:u w:val="single"/>
        </w:rPr>
        <w:t xml:space="preserve">            </w:t>
      </w:r>
      <w:r>
        <w:rPr>
          <w:rFonts w:hint="eastAsia" w:ascii="宋体" w:hAnsi="宋体" w:cs="宋体"/>
          <w:sz w:val="24"/>
          <w:szCs w:val="24"/>
          <w:highlight w:val="none"/>
        </w:rPr>
        <w:t xml:space="preserve">（签字或盖章） </w:t>
      </w:r>
    </w:p>
    <w:p>
      <w:pPr>
        <w:pStyle w:val="154"/>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sz w:val="24"/>
          <w:szCs w:val="24"/>
          <w:highlight w:val="none"/>
        </w:rPr>
      </w:pPr>
      <w:r>
        <w:rPr>
          <w:rFonts w:hint="eastAsia" w:ascii="宋体" w:hAnsi="宋体" w:cs="宋体"/>
          <w:spacing w:val="-1"/>
          <w:sz w:val="24"/>
          <w:szCs w:val="24"/>
          <w:highlight w:val="none"/>
        </w:rPr>
        <w:t>地</w:t>
      </w:r>
      <w:r>
        <w:rPr>
          <w:rFonts w:hint="eastAsia" w:ascii="宋体" w:hAnsi="宋体" w:cs="宋体"/>
          <w:spacing w:val="1"/>
          <w:sz w:val="24"/>
          <w:szCs w:val="24"/>
          <w:highlight w:val="none"/>
        </w:rPr>
        <w:t>址</w:t>
      </w:r>
      <w:r>
        <w:rPr>
          <w:rFonts w:hint="eastAsia" w:ascii="宋体" w:hAnsi="宋体" w:cs="宋体"/>
          <w:spacing w:val="42"/>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pacing w:val="-1"/>
          <w:sz w:val="24"/>
          <w:szCs w:val="24"/>
          <w:highlight w:val="none"/>
        </w:rPr>
        <w:t>邮</w:t>
      </w:r>
      <w:r>
        <w:rPr>
          <w:rFonts w:hint="eastAsia" w:ascii="宋体" w:hAnsi="宋体" w:cs="宋体"/>
          <w:sz w:val="24"/>
          <w:szCs w:val="24"/>
          <w:highlight w:val="none"/>
        </w:rPr>
        <w:t>编</w:t>
      </w:r>
      <w:r>
        <w:rPr>
          <w:rFonts w:hint="eastAsia" w:ascii="宋体" w:hAnsi="宋体" w:cs="宋体"/>
          <w:sz w:val="24"/>
          <w:szCs w:val="24"/>
          <w:highlight w:val="none"/>
          <w:u w:val="single"/>
        </w:rPr>
        <w:t xml:space="preserve">                            </w:t>
      </w:r>
    </w:p>
    <w:p>
      <w:pPr>
        <w:pStyle w:val="154"/>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cs="宋体"/>
          <w:sz w:val="24"/>
          <w:szCs w:val="24"/>
          <w:highlight w:val="none"/>
        </w:rPr>
      </w:pPr>
      <w:r>
        <w:rPr>
          <w:rFonts w:hint="eastAsia" w:ascii="宋体" w:hAnsi="宋体" w:cs="宋体"/>
          <w:spacing w:val="-1"/>
          <w:sz w:val="24"/>
          <w:szCs w:val="24"/>
          <w:highlight w:val="none"/>
        </w:rPr>
        <w:t>电</w:t>
      </w:r>
      <w:r>
        <w:rPr>
          <w:rFonts w:hint="eastAsia" w:ascii="宋体" w:hAnsi="宋体" w:cs="宋体"/>
          <w:spacing w:val="1"/>
          <w:sz w:val="24"/>
          <w:szCs w:val="24"/>
          <w:highlight w:val="none"/>
        </w:rPr>
        <w:t>话</w:t>
      </w:r>
      <w:r>
        <w:rPr>
          <w:rFonts w:hint="eastAsia" w:ascii="宋体" w:hAnsi="宋体" w:cs="宋体"/>
          <w:sz w:val="24"/>
          <w:szCs w:val="24"/>
          <w:highlight w:val="none"/>
          <w:u w:val="single"/>
        </w:rPr>
        <w:t xml:space="preserve">                        </w:t>
      </w:r>
      <w:r>
        <w:rPr>
          <w:rFonts w:hint="eastAsia" w:ascii="宋体" w:hAnsi="宋体" w:cs="宋体"/>
          <w:spacing w:val="-1"/>
          <w:sz w:val="24"/>
          <w:szCs w:val="24"/>
          <w:highlight w:val="none"/>
        </w:rPr>
        <w:t>传</w:t>
      </w:r>
      <w:r>
        <w:rPr>
          <w:rFonts w:hint="eastAsia" w:ascii="宋体" w:hAnsi="宋体" w:cs="宋体"/>
          <w:sz w:val="24"/>
          <w:szCs w:val="24"/>
          <w:highlight w:val="none"/>
        </w:rPr>
        <w:t>真</w:t>
      </w:r>
      <w:r>
        <w:rPr>
          <w:rFonts w:hint="eastAsia" w:ascii="宋体" w:hAnsi="宋体" w:cs="宋体"/>
          <w:sz w:val="24"/>
          <w:szCs w:val="24"/>
          <w:highlight w:val="none"/>
          <w:u w:val="single"/>
        </w:rPr>
        <w:t xml:space="preserve">                       </w:t>
      </w:r>
    </w:p>
    <w:p>
      <w:pPr>
        <w:pStyle w:val="154"/>
        <w:keepNext w:val="0"/>
        <w:keepLines w:val="0"/>
        <w:pageBreakBefore w:val="0"/>
        <w:widowControl/>
        <w:kinsoku/>
        <w:wordWrap/>
        <w:overflowPunct/>
        <w:topLinePunct w:val="0"/>
        <w:autoSpaceDE/>
        <w:autoSpaceDN/>
        <w:bidi w:val="0"/>
        <w:adjustRightInd/>
        <w:snapToGrid/>
        <w:spacing w:line="360" w:lineRule="auto"/>
        <w:textAlignment w:val="auto"/>
        <w:rPr>
          <w:rFonts w:ascii="宋体" w:hAnsi="宋体"/>
          <w:sz w:val="24"/>
          <w:highlight w:val="none"/>
        </w:rPr>
      </w:pPr>
      <w:r>
        <w:rPr>
          <w:rFonts w:hint="eastAsia" w:ascii="宋体" w:hAnsi="宋体" w:cs="宋体"/>
          <w:sz w:val="24"/>
          <w:szCs w:val="24"/>
          <w:highlight w:val="none"/>
        </w:rPr>
        <w:t>电子邮箱</w:t>
      </w:r>
      <w:r>
        <w:rPr>
          <w:rFonts w:hint="eastAsia" w:ascii="宋体" w:hAnsi="宋体" w:cs="宋体"/>
          <w:sz w:val="24"/>
          <w:szCs w:val="24"/>
          <w:highlight w:val="none"/>
          <w:u w:val="single"/>
        </w:rPr>
        <w:t xml:space="preserve">                  </w:t>
      </w:r>
      <w:r>
        <w:rPr>
          <w:rFonts w:hint="eastAsia" w:ascii="宋体" w:hAnsi="宋体" w:cs="宋体"/>
          <w:sz w:val="24"/>
          <w:szCs w:val="24"/>
          <w:highlight w:val="none"/>
        </w:rPr>
        <w:t>网址：</w:t>
      </w:r>
      <w:r>
        <w:rPr>
          <w:rFonts w:hint="eastAsia" w:ascii="宋体" w:hAnsi="宋体" w:cs="宋体"/>
          <w:sz w:val="24"/>
          <w:szCs w:val="24"/>
          <w:highlight w:val="none"/>
          <w:u w:val="single"/>
        </w:rPr>
        <w:t xml:space="preserve">                       </w:t>
      </w:r>
    </w:p>
    <w:p>
      <w:pPr>
        <w:pStyle w:val="154"/>
        <w:keepNext w:val="0"/>
        <w:keepLines w:val="0"/>
        <w:pageBreakBefore w:val="0"/>
        <w:widowControl/>
        <w:kinsoku/>
        <w:wordWrap/>
        <w:overflowPunct/>
        <w:topLinePunct w:val="0"/>
        <w:autoSpaceDE/>
        <w:autoSpaceDN/>
        <w:bidi w:val="0"/>
        <w:adjustRightInd/>
        <w:snapToGrid/>
        <w:spacing w:line="360" w:lineRule="auto"/>
        <w:jc w:val="right"/>
        <w:textAlignment w:val="auto"/>
        <w:rPr>
          <w:rFonts w:ascii="宋体" w:hAnsi="宋体" w:cs="宋体"/>
          <w:sz w:val="24"/>
          <w:szCs w:val="24"/>
          <w:highlight w:val="none"/>
        </w:rPr>
      </w:pPr>
      <w:r>
        <w:rPr>
          <w:rFonts w:hint="eastAsia" w:ascii="宋体" w:hAnsi="宋体"/>
          <w:sz w:val="24"/>
          <w:highlight w:val="none"/>
        </w:rPr>
        <w:t>日    期：</w:t>
      </w:r>
      <w:r>
        <w:rPr>
          <w:rFonts w:hint="eastAsia" w:ascii="宋体" w:hAnsi="宋体" w:cs="宋体"/>
          <w:sz w:val="24"/>
          <w:szCs w:val="24"/>
          <w:highlight w:val="none"/>
          <w:u w:val="single"/>
        </w:rPr>
        <w:t xml:space="preserve">       </w:t>
      </w:r>
      <w:r>
        <w:rPr>
          <w:rFonts w:hint="eastAsia" w:ascii="宋体" w:hAnsi="宋体" w:cs="宋体"/>
          <w:sz w:val="24"/>
          <w:szCs w:val="24"/>
          <w:highlight w:val="none"/>
        </w:rPr>
        <w:t>年</w:t>
      </w:r>
      <w:r>
        <w:rPr>
          <w:rFonts w:hint="eastAsia" w:ascii="宋体" w:hAnsi="宋体" w:cs="宋体"/>
          <w:spacing w:val="42"/>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月</w:t>
      </w:r>
      <w:r>
        <w:rPr>
          <w:rFonts w:hint="eastAsia" w:ascii="宋体" w:hAnsi="宋体" w:cs="宋体"/>
          <w:spacing w:val="42"/>
          <w:sz w:val="24"/>
          <w:szCs w:val="24"/>
          <w:highlight w:val="none"/>
          <w:u w:val="single"/>
        </w:rPr>
        <w:t xml:space="preserve"> </w:t>
      </w:r>
      <w:r>
        <w:rPr>
          <w:rFonts w:hint="eastAsia" w:ascii="宋体" w:hAnsi="宋体" w:cs="宋体"/>
          <w:sz w:val="24"/>
          <w:szCs w:val="24"/>
          <w:highlight w:val="none"/>
          <w:u w:val="single"/>
        </w:rPr>
        <w:t xml:space="preserve">  </w:t>
      </w:r>
      <w:r>
        <w:rPr>
          <w:rFonts w:hint="eastAsia" w:ascii="宋体" w:hAnsi="宋体" w:cs="宋体"/>
          <w:sz w:val="24"/>
          <w:szCs w:val="24"/>
          <w:highlight w:val="none"/>
        </w:rPr>
        <w:t>日</w:t>
      </w:r>
    </w:p>
    <w:p>
      <w:pPr>
        <w:rPr>
          <w:highlight w:val="cyan"/>
        </w:rPr>
      </w:pPr>
      <w:r>
        <w:rPr>
          <w:highlight w:val="cyan"/>
        </w:rPr>
        <w:br w:type="page"/>
      </w:r>
    </w:p>
    <w:p>
      <w:pPr>
        <w:pStyle w:val="5"/>
        <w:bidi w:val="0"/>
        <w:rPr>
          <w:rFonts w:hint="eastAsia"/>
        </w:rPr>
      </w:pPr>
      <w:bookmarkStart w:id="22" w:name="_Toc23527"/>
      <w:r>
        <w:rPr>
          <w:rFonts w:hint="eastAsia"/>
          <w:lang w:val="en-US" w:eastAsia="zh-CN"/>
        </w:rPr>
        <w:t>二、响应</w:t>
      </w:r>
      <w:r>
        <w:rPr>
          <w:rFonts w:hint="eastAsia"/>
        </w:rPr>
        <w:t>报价表</w:t>
      </w:r>
      <w:bookmarkEnd w:id="22"/>
    </w:p>
    <w:tbl>
      <w:tblPr>
        <w:tblStyle w:val="58"/>
        <w:tblW w:w="8550" w:type="dxa"/>
        <w:tblInd w:w="4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65"/>
        <w:gridCol w:w="2419"/>
        <w:gridCol w:w="1335"/>
        <w:gridCol w:w="2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9" w:hRule="exact"/>
        </w:trPr>
        <w:tc>
          <w:tcPr>
            <w:tcW w:w="2065" w:type="dxa"/>
            <w:noWrap w:val="0"/>
            <w:vAlign w:val="center"/>
          </w:tcPr>
          <w:p>
            <w:pPr>
              <w:jc w:val="center"/>
              <w:rPr>
                <w:rFonts w:hint="eastAsia" w:ascii="宋体" w:hAnsi="宋体"/>
                <w:sz w:val="24"/>
                <w:szCs w:val="22"/>
              </w:rPr>
            </w:pPr>
            <w:r>
              <w:rPr>
                <w:rFonts w:hint="eastAsia" w:ascii="宋体" w:hAnsi="宋体" w:cs="宋体"/>
                <w:sz w:val="24"/>
                <w:szCs w:val="22"/>
              </w:rPr>
              <w:t>项</w:t>
            </w:r>
            <w:r>
              <w:rPr>
                <w:rFonts w:hint="eastAsia" w:ascii="宋体" w:hAnsi="宋体"/>
                <w:sz w:val="24"/>
                <w:szCs w:val="22"/>
              </w:rPr>
              <w:t>目名称</w:t>
            </w:r>
          </w:p>
        </w:tc>
        <w:tc>
          <w:tcPr>
            <w:tcW w:w="2419" w:type="dxa"/>
            <w:noWrap w:val="0"/>
            <w:vAlign w:val="center"/>
          </w:tcPr>
          <w:p>
            <w:pPr>
              <w:jc w:val="center"/>
              <w:rPr>
                <w:rFonts w:hint="eastAsia" w:ascii="宋体" w:hAnsi="宋体"/>
                <w:sz w:val="24"/>
                <w:szCs w:val="22"/>
              </w:rPr>
            </w:pPr>
          </w:p>
        </w:tc>
        <w:tc>
          <w:tcPr>
            <w:tcW w:w="1335" w:type="dxa"/>
            <w:noWrap w:val="0"/>
            <w:vAlign w:val="center"/>
          </w:tcPr>
          <w:p>
            <w:pPr>
              <w:jc w:val="center"/>
              <w:rPr>
                <w:rFonts w:hint="eastAsia" w:ascii="宋体" w:hAnsi="宋体"/>
                <w:sz w:val="24"/>
                <w:szCs w:val="22"/>
              </w:rPr>
            </w:pPr>
            <w:r>
              <w:rPr>
                <w:rFonts w:hint="eastAsia" w:ascii="宋体" w:hAnsi="宋体" w:cs="宋体"/>
                <w:sz w:val="24"/>
                <w:szCs w:val="22"/>
              </w:rPr>
              <w:t>项</w:t>
            </w:r>
            <w:r>
              <w:rPr>
                <w:rFonts w:hint="eastAsia" w:ascii="宋体" w:hAnsi="宋体"/>
                <w:sz w:val="24"/>
                <w:szCs w:val="22"/>
              </w:rPr>
              <w:t>目</w:t>
            </w:r>
            <w:r>
              <w:rPr>
                <w:rFonts w:hint="eastAsia" w:ascii="宋体" w:hAnsi="宋体" w:cs="宋体"/>
                <w:sz w:val="24"/>
                <w:szCs w:val="22"/>
              </w:rPr>
              <w:t>编</w:t>
            </w:r>
            <w:r>
              <w:rPr>
                <w:rFonts w:hint="eastAsia" w:ascii="宋体" w:hAnsi="宋体"/>
                <w:sz w:val="24"/>
                <w:szCs w:val="22"/>
              </w:rPr>
              <w:t>号</w:t>
            </w:r>
          </w:p>
        </w:tc>
        <w:tc>
          <w:tcPr>
            <w:tcW w:w="2731" w:type="dxa"/>
            <w:noWrap w:val="0"/>
            <w:vAlign w:val="center"/>
          </w:tcPr>
          <w:p>
            <w:pPr>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7" w:hRule="exact"/>
        </w:trPr>
        <w:tc>
          <w:tcPr>
            <w:tcW w:w="2065" w:type="dxa"/>
            <w:noWrap w:val="0"/>
            <w:vAlign w:val="center"/>
          </w:tcPr>
          <w:p>
            <w:pPr>
              <w:jc w:val="center"/>
              <w:rPr>
                <w:rFonts w:hint="eastAsia" w:ascii="宋体" w:hAnsi="宋体"/>
                <w:sz w:val="24"/>
                <w:szCs w:val="22"/>
              </w:rPr>
            </w:pPr>
            <w:r>
              <w:rPr>
                <w:rFonts w:hint="eastAsia" w:ascii="宋体" w:hAnsi="宋体"/>
                <w:sz w:val="24"/>
                <w:szCs w:val="22"/>
                <w:lang w:val="en-US" w:eastAsia="zh-CN"/>
              </w:rPr>
              <w:t>供应商</w:t>
            </w:r>
            <w:r>
              <w:rPr>
                <w:rFonts w:hint="eastAsia" w:ascii="宋体" w:hAnsi="宋体"/>
                <w:sz w:val="24"/>
                <w:szCs w:val="22"/>
              </w:rPr>
              <w:t>名称</w:t>
            </w:r>
          </w:p>
        </w:tc>
        <w:tc>
          <w:tcPr>
            <w:tcW w:w="6485" w:type="dxa"/>
            <w:gridSpan w:val="3"/>
            <w:noWrap w:val="0"/>
            <w:vAlign w:val="center"/>
          </w:tcPr>
          <w:p>
            <w:pPr>
              <w:jc w:val="center"/>
              <w:rPr>
                <w:rFonts w:hint="eastAsia" w:ascii="宋体" w:hAnsi="宋体"/>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6" w:hRule="atLeast"/>
        </w:trPr>
        <w:tc>
          <w:tcPr>
            <w:tcW w:w="2065" w:type="dxa"/>
            <w:noWrap w:val="0"/>
            <w:vAlign w:val="center"/>
          </w:tcPr>
          <w:p>
            <w:pPr>
              <w:jc w:val="center"/>
              <w:rPr>
                <w:rFonts w:hint="eastAsia" w:ascii="宋体" w:hAnsi="宋体"/>
                <w:sz w:val="24"/>
                <w:szCs w:val="22"/>
              </w:rPr>
            </w:pPr>
            <w:r>
              <w:rPr>
                <w:rFonts w:hint="eastAsia" w:ascii="宋体" w:hAnsi="宋体"/>
                <w:sz w:val="24"/>
                <w:szCs w:val="22"/>
              </w:rPr>
              <w:t>折扣率报价</w:t>
            </w:r>
          </w:p>
          <w:p>
            <w:pPr>
              <w:jc w:val="center"/>
              <w:rPr>
                <w:rFonts w:hint="eastAsia" w:ascii="宋体" w:hAnsi="宋体"/>
                <w:sz w:val="24"/>
                <w:szCs w:val="22"/>
              </w:rPr>
            </w:pPr>
            <w:r>
              <w:rPr>
                <w:rFonts w:hint="eastAsia" w:ascii="宋体" w:hAnsi="宋体"/>
                <w:sz w:val="24"/>
                <w:szCs w:val="22"/>
                <w:lang w:eastAsia="zh-CN"/>
              </w:rPr>
              <w:t>（</w:t>
            </w:r>
            <w:r>
              <w:rPr>
                <w:rFonts w:hint="eastAsia" w:ascii="宋体" w:hAnsi="宋体" w:cs="宋体"/>
                <w:color w:val="auto"/>
                <w:sz w:val="24"/>
                <w:szCs w:val="24"/>
                <w:highlight w:val="none"/>
                <w:lang w:val="en-US" w:eastAsia="zh-CN"/>
              </w:rPr>
              <w:t>中标价30万以上不包含30万）</w:t>
            </w:r>
          </w:p>
        </w:tc>
        <w:tc>
          <w:tcPr>
            <w:tcW w:w="6485" w:type="dxa"/>
            <w:gridSpan w:val="3"/>
            <w:noWrap w:val="0"/>
            <w:vAlign w:val="center"/>
          </w:tcPr>
          <w:p>
            <w:pPr>
              <w:jc w:val="center"/>
              <w:rPr>
                <w:rFonts w:hint="default" w:ascii="宋体" w:hAnsi="宋体" w:eastAsia="宋体" w:cs="宋体"/>
                <w:sz w:val="24"/>
                <w:szCs w:val="22"/>
                <w:u w:val="single"/>
                <w:lang w:val="en-US" w:eastAsia="zh-CN"/>
              </w:rPr>
            </w:pPr>
            <w:r>
              <w:rPr>
                <w:rFonts w:hint="eastAsia" w:ascii="宋体" w:hAnsi="宋体" w:cs="宋体"/>
                <w:sz w:val="24"/>
                <w:szCs w:val="22"/>
                <w:u w:val="single"/>
                <w:lang w:val="en-US" w:eastAsia="zh-CN"/>
              </w:rPr>
              <w:t xml:space="preserve">           %（须报整数）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62" w:hRule="atLeast"/>
        </w:trPr>
        <w:tc>
          <w:tcPr>
            <w:tcW w:w="2065" w:type="dxa"/>
            <w:noWrap w:val="0"/>
            <w:vAlign w:val="center"/>
          </w:tcPr>
          <w:p>
            <w:pPr>
              <w:jc w:val="center"/>
              <w:rPr>
                <w:rFonts w:hint="eastAsia" w:ascii="宋体" w:hAnsi="宋体"/>
                <w:sz w:val="24"/>
                <w:szCs w:val="22"/>
              </w:rPr>
            </w:pPr>
            <w:r>
              <w:rPr>
                <w:rFonts w:hint="eastAsia" w:ascii="宋体" w:hAnsi="宋体"/>
                <w:sz w:val="24"/>
                <w:szCs w:val="22"/>
              </w:rPr>
              <w:t>保底报价</w:t>
            </w:r>
          </w:p>
          <w:p>
            <w:pPr>
              <w:pStyle w:val="2"/>
              <w:jc w:val="center"/>
              <w:rPr>
                <w:rFonts w:hint="eastAsia"/>
              </w:rPr>
            </w:pPr>
            <w:r>
              <w:rPr>
                <w:rFonts w:hint="eastAsia" w:ascii="宋体" w:hAnsi="宋体" w:cs="宋体"/>
                <w:color w:val="auto"/>
                <w:sz w:val="24"/>
                <w:szCs w:val="24"/>
                <w:highlight w:val="none"/>
                <w:lang w:val="en-US" w:eastAsia="zh-CN"/>
              </w:rPr>
              <w:t>（中标价30万以内包含30万）</w:t>
            </w:r>
          </w:p>
        </w:tc>
        <w:tc>
          <w:tcPr>
            <w:tcW w:w="6485" w:type="dxa"/>
            <w:gridSpan w:val="3"/>
            <w:noWrap w:val="0"/>
            <w:vAlign w:val="center"/>
          </w:tcPr>
          <w:p>
            <w:pPr>
              <w:pStyle w:val="21"/>
              <w:widowControl/>
              <w:adjustRightInd/>
              <w:spacing w:line="400" w:lineRule="exact"/>
              <w:ind w:left="0" w:leftChars="0" w:firstLine="0" w:firstLineChars="0"/>
              <w:jc w:val="center"/>
              <w:rPr>
                <w:rFonts w:hint="eastAsia" w:ascii="宋体" w:eastAsia="宋体"/>
                <w:szCs w:val="22"/>
                <w:lang w:val="en-US" w:eastAsia="zh-CN"/>
              </w:rPr>
            </w:pPr>
            <w:r>
              <w:rPr>
                <w:rFonts w:hint="eastAsia" w:ascii="宋体" w:hAnsi="宋体"/>
                <w:kern w:val="20"/>
                <w:szCs w:val="22"/>
                <w:u w:val="single"/>
                <w:lang w:val="en-US" w:eastAsia="zh-CN"/>
              </w:rPr>
              <w:t xml:space="preserve">             </w:t>
            </w:r>
            <w:r>
              <w:rPr>
                <w:rFonts w:hint="eastAsia" w:ascii="宋体" w:hAnsi="宋体"/>
                <w:kern w:val="20"/>
                <w:szCs w:val="22"/>
                <w:lang w:val="en-US" w:eastAsia="zh-CN"/>
              </w:rPr>
              <w:t>元（报价须按200的倍数减少）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81" w:hRule="atLeast"/>
        </w:trPr>
        <w:tc>
          <w:tcPr>
            <w:tcW w:w="2065" w:type="dxa"/>
            <w:noWrap w:val="0"/>
            <w:vAlign w:val="center"/>
          </w:tcPr>
          <w:p>
            <w:pPr>
              <w:jc w:val="center"/>
              <w:rPr>
                <w:rFonts w:hint="eastAsia" w:ascii="宋体" w:hAnsi="宋体" w:eastAsia="宋体"/>
                <w:sz w:val="24"/>
                <w:szCs w:val="22"/>
                <w:lang w:val="en-US" w:eastAsia="zh-CN"/>
              </w:rPr>
            </w:pPr>
            <w:r>
              <w:rPr>
                <w:rFonts w:hint="eastAsia" w:ascii="宋体" w:hAnsi="宋体"/>
                <w:sz w:val="24"/>
                <w:szCs w:val="22"/>
                <w:lang w:val="en-US" w:eastAsia="zh-CN"/>
              </w:rPr>
              <w:t>备注</w:t>
            </w:r>
          </w:p>
        </w:tc>
        <w:tc>
          <w:tcPr>
            <w:tcW w:w="6485" w:type="dxa"/>
            <w:gridSpan w:val="3"/>
            <w:noWrap w:val="0"/>
            <w:vAlign w:val="center"/>
          </w:tcPr>
          <w:p>
            <w:pPr>
              <w:pStyle w:val="21"/>
              <w:widowControl/>
              <w:adjustRightInd/>
              <w:spacing w:line="400" w:lineRule="exact"/>
              <w:ind w:left="0" w:leftChars="0" w:firstLine="0" w:firstLineChars="0"/>
              <w:jc w:val="center"/>
              <w:rPr>
                <w:rFonts w:hint="eastAsia" w:ascii="宋体" w:hAnsi="宋体"/>
                <w:kern w:val="20"/>
                <w:szCs w:val="22"/>
                <w:u w:val="single"/>
                <w:lang w:val="en-US" w:eastAsia="zh-CN"/>
              </w:rPr>
            </w:pPr>
          </w:p>
        </w:tc>
      </w:tr>
    </w:tbl>
    <w:p>
      <w:pPr>
        <w:spacing w:line="360" w:lineRule="auto"/>
        <w:ind w:firstLine="480" w:firstLineChars="200"/>
        <w:rPr>
          <w:rFonts w:hint="eastAsia" w:ascii="宋体" w:hAnsi="宋体"/>
          <w:sz w:val="24"/>
          <w:szCs w:val="22"/>
        </w:rPr>
      </w:pPr>
    </w:p>
    <w:p>
      <w:pPr>
        <w:spacing w:line="360" w:lineRule="auto"/>
        <w:ind w:firstLine="480" w:firstLineChars="200"/>
        <w:rPr>
          <w:rFonts w:hint="eastAsia" w:ascii="宋体" w:hAnsi="宋体"/>
          <w:sz w:val="24"/>
          <w:szCs w:val="22"/>
        </w:rPr>
      </w:pPr>
      <w:r>
        <w:rPr>
          <w:rFonts w:hint="eastAsia" w:ascii="宋体" w:hAnsi="宋体"/>
          <w:sz w:val="24"/>
          <w:szCs w:val="22"/>
        </w:rPr>
        <w:t>投</w:t>
      </w:r>
      <w:r>
        <w:rPr>
          <w:rFonts w:hint="eastAsia" w:ascii="宋体" w:hAnsi="宋体" w:cs="宋体"/>
          <w:sz w:val="24"/>
          <w:szCs w:val="22"/>
        </w:rPr>
        <w:t>标</w:t>
      </w:r>
      <w:r>
        <w:rPr>
          <w:rFonts w:hint="eastAsia" w:ascii="宋体" w:hAnsi="宋体"/>
          <w:sz w:val="24"/>
          <w:szCs w:val="22"/>
        </w:rPr>
        <w:t>人签章</w:t>
      </w:r>
      <w:r>
        <w:rPr>
          <w:rFonts w:hint="eastAsia" w:ascii="宋体" w:hAnsi="宋体"/>
          <w:sz w:val="24"/>
          <w:szCs w:val="22"/>
          <w:lang w:eastAsia="zh-CN"/>
        </w:rPr>
        <w:t>：</w:t>
      </w:r>
      <w:r>
        <w:rPr>
          <w:rFonts w:hint="eastAsia" w:ascii="宋体" w:hAnsi="宋体"/>
          <w:sz w:val="24"/>
          <w:szCs w:val="22"/>
          <w:u w:val="single"/>
        </w:rPr>
        <w:t xml:space="preserve">                                          </w:t>
      </w:r>
    </w:p>
    <w:p>
      <w:pPr>
        <w:spacing w:line="360" w:lineRule="auto"/>
        <w:ind w:firstLine="480" w:firstLineChars="200"/>
        <w:rPr>
          <w:rFonts w:hint="eastAsia"/>
          <w:sz w:val="32"/>
        </w:rPr>
      </w:pPr>
      <w:r>
        <w:rPr>
          <w:rFonts w:hint="eastAsia" w:ascii="宋体" w:hAnsi="宋体"/>
          <w:sz w:val="24"/>
          <w:szCs w:val="22"/>
        </w:rPr>
        <w:t>日</w:t>
      </w:r>
      <w:r>
        <w:rPr>
          <w:rFonts w:hint="eastAsia" w:ascii="宋体" w:hAnsi="宋体"/>
          <w:sz w:val="24"/>
          <w:szCs w:val="22"/>
          <w:lang w:val="en-US" w:eastAsia="zh-CN"/>
        </w:rPr>
        <w:t xml:space="preserve">      </w:t>
      </w:r>
      <w:r>
        <w:rPr>
          <w:rFonts w:hint="eastAsia" w:ascii="宋体" w:hAnsi="宋体"/>
          <w:sz w:val="24"/>
          <w:szCs w:val="22"/>
        </w:rPr>
        <w:t>期：</w:t>
      </w:r>
    </w:p>
    <w:p>
      <w:pPr>
        <w:pStyle w:val="5"/>
        <w:rPr>
          <w:rFonts w:ascii="宋体" w:hAnsi="宋体" w:cs="宋体"/>
          <w:b/>
          <w:sz w:val="24"/>
          <w:szCs w:val="18"/>
          <w:highlight w:val="none"/>
          <w:lang w:bidi="ar"/>
        </w:rPr>
      </w:pPr>
      <w:r>
        <w:rPr>
          <w:highlight w:val="cyan"/>
        </w:rPr>
        <w:br w:type="page"/>
      </w:r>
      <w:bookmarkStart w:id="23" w:name="_Toc933"/>
      <w:bookmarkStart w:id="24" w:name="_Toc154731050"/>
      <w:r>
        <w:rPr>
          <w:rFonts w:hint="eastAsia"/>
          <w:highlight w:val="none"/>
          <w:lang w:val="en-US" w:eastAsia="zh-CN"/>
        </w:rPr>
        <w:t>三</w:t>
      </w:r>
      <w:r>
        <w:rPr>
          <w:highlight w:val="none"/>
          <w:lang w:bidi="ar"/>
        </w:rPr>
        <w:t>、无重大违法记录声明函、无不良信用记录声明函</w:t>
      </w:r>
      <w:bookmarkEnd w:id="23"/>
      <w:bookmarkEnd w:id="24"/>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1.本单位郑重声明，根据《中华人民共和国政府采购法》及《中华人民共和国政府采购法实施条例》的规定，参加采购活动前三年内，本单位在经营活动中没有重大违法记录，没有因违法经营受到刑事处罚或者责令停产停业、吊销许可证或者执照、较大数额罚款等行政处罚，且未在被禁止参加政府采购活动的处罚期限内。</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2.本单位郑重声明，我单位无以下不良信用记录情形：</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（1）被人民法院列入失信被执行人；</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（2）单位、法定代表人或拟派项目经理（项目负责人）被人民检察院列入行贿犯罪档案；</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（3）被工商行政管理部门列入企业经营异常名录；</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（4）被税务部门列入重大税收违法案件当事人名单；</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（5）被政府采购监管部门列入政府采购严重违法失信行为记录名单。</w:t>
      </w:r>
    </w:p>
    <w:p>
      <w:pPr>
        <w:spacing w:line="360" w:lineRule="auto"/>
        <w:ind w:firstLine="435"/>
        <w:rPr>
          <w:rFonts w:ascii="宋体" w:hAnsi="宋体"/>
          <w:kern w:val="0"/>
          <w:sz w:val="32"/>
          <w:szCs w:val="32"/>
          <w:highlight w:val="none"/>
        </w:rPr>
      </w:pPr>
      <w:r>
        <w:rPr>
          <w:rFonts w:hint="eastAsia" w:ascii="宋体" w:hAnsi="宋体"/>
          <w:b/>
          <w:sz w:val="24"/>
          <w:highlight w:val="none"/>
        </w:rPr>
        <w:t>我公司已就上述不良信用行为按照</w:t>
      </w:r>
      <w:r>
        <w:rPr>
          <w:rFonts w:hint="eastAsia" w:ascii="宋体" w:hAnsi="宋体"/>
          <w:b/>
          <w:sz w:val="24"/>
          <w:highlight w:val="none"/>
          <w:lang w:eastAsia="zh-CN"/>
        </w:rPr>
        <w:t>比选</w:t>
      </w:r>
      <w:r>
        <w:rPr>
          <w:rFonts w:hint="eastAsia" w:ascii="宋体" w:hAnsi="宋体"/>
          <w:b/>
          <w:sz w:val="24"/>
          <w:highlight w:val="none"/>
        </w:rPr>
        <w:t>文件中供应商须知规定进行了查询。</w:t>
      </w:r>
      <w:r>
        <w:rPr>
          <w:rFonts w:hint="eastAsia" w:ascii="宋体" w:hAnsi="宋体"/>
          <w:sz w:val="24"/>
          <w:highlight w:val="none"/>
        </w:rPr>
        <w:t xml:space="preserve">我公司承诺：合同签订前，若我公司具有不良信用记录情形，贵方可取消我公司中标资格或者不授予合同，所有责任由我公司自行承担。同时，我公司愿意无条件接受监管部门的调查处理。 </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本单位对上述声明的真实性负责。如有虚假，将依法承担相应责任。</w:t>
      </w:r>
    </w:p>
    <w:p>
      <w:pPr>
        <w:spacing w:line="360" w:lineRule="auto"/>
        <w:ind w:firstLine="480" w:firstLineChars="200"/>
        <w:rPr>
          <w:rFonts w:ascii="宋体" w:hAnsi="宋体" w:cs="宋体"/>
          <w:sz w:val="24"/>
          <w:szCs w:val="18"/>
          <w:highlight w:val="none"/>
          <w:lang w:bidi="ar"/>
        </w:rPr>
      </w:pPr>
    </w:p>
    <w:p>
      <w:pPr>
        <w:spacing w:line="360" w:lineRule="auto"/>
        <w:ind w:firstLine="480" w:firstLineChars="200"/>
        <w:rPr>
          <w:rFonts w:ascii="宋体" w:hAnsi="宋体" w:cs="宋体"/>
          <w:sz w:val="24"/>
          <w:szCs w:val="18"/>
          <w:highlight w:val="none"/>
          <w:lang w:bidi="ar"/>
        </w:rPr>
      </w:pPr>
    </w:p>
    <w:p>
      <w:pPr>
        <w:spacing w:line="360" w:lineRule="auto"/>
        <w:ind w:firstLine="480" w:firstLineChars="200"/>
        <w:rPr>
          <w:rFonts w:ascii="宋体" w:hAnsi="宋体" w:cs="宋体"/>
          <w:sz w:val="24"/>
          <w:szCs w:val="18"/>
          <w:highlight w:val="none"/>
          <w:lang w:bidi="ar"/>
        </w:rPr>
      </w:pPr>
    </w:p>
    <w:p>
      <w:pPr>
        <w:spacing w:line="360" w:lineRule="auto"/>
        <w:ind w:right="1596" w:rightChars="760"/>
        <w:jc w:val="right"/>
        <w:rPr>
          <w:rFonts w:ascii="宋体" w:hAnsi="宋体" w:cs="宋体"/>
          <w:sz w:val="24"/>
          <w:szCs w:val="18"/>
          <w:highlight w:val="none"/>
          <w:lang w:bidi="ar"/>
        </w:rPr>
      </w:pPr>
      <w:r>
        <w:rPr>
          <w:rFonts w:hint="eastAsia" w:ascii="宋体" w:hAnsi="宋体" w:cs="宋体"/>
          <w:sz w:val="24"/>
          <w:szCs w:val="18"/>
          <w:highlight w:val="none"/>
          <w:lang w:bidi="ar"/>
        </w:rPr>
        <w:t>供应商公章：</w:t>
      </w:r>
    </w:p>
    <w:p>
      <w:pPr>
        <w:tabs>
          <w:tab w:val="left" w:pos="7230"/>
        </w:tabs>
        <w:wordWrap w:val="0"/>
        <w:spacing w:line="360" w:lineRule="auto"/>
        <w:ind w:right="1172" w:rightChars="558"/>
        <w:jc w:val="right"/>
        <w:rPr>
          <w:rFonts w:ascii="宋体" w:hAnsi="宋体" w:cs="宋体"/>
          <w:sz w:val="24"/>
          <w:szCs w:val="18"/>
          <w:highlight w:val="none"/>
          <w:lang w:bidi="ar"/>
        </w:rPr>
      </w:pPr>
      <w:r>
        <w:rPr>
          <w:rFonts w:hint="eastAsia" w:ascii="宋体" w:hAnsi="宋体" w:cs="宋体"/>
          <w:sz w:val="24"/>
          <w:szCs w:val="18"/>
          <w:highlight w:val="none"/>
          <w:lang w:bidi="ar"/>
        </w:rPr>
        <w:t>日</w:t>
      </w:r>
      <w:r>
        <w:rPr>
          <w:rFonts w:ascii="宋体" w:hAnsi="宋体" w:cs="宋体"/>
          <w:sz w:val="24"/>
          <w:szCs w:val="18"/>
          <w:highlight w:val="none"/>
          <w:lang w:bidi="ar"/>
        </w:rPr>
        <w:t xml:space="preserve"> </w:t>
      </w:r>
      <w:r>
        <w:rPr>
          <w:rFonts w:hint="eastAsia" w:ascii="宋体" w:hAnsi="宋体" w:cs="宋体"/>
          <w:sz w:val="24"/>
          <w:szCs w:val="18"/>
          <w:highlight w:val="none"/>
          <w:lang w:bidi="ar"/>
        </w:rPr>
        <w:t xml:space="preserve">     期：    </w:t>
      </w:r>
    </w:p>
    <w:p>
      <w:pPr>
        <w:pStyle w:val="5"/>
        <w:rPr>
          <w:highlight w:val="none"/>
          <w:lang w:bidi="ar"/>
        </w:rPr>
      </w:pPr>
      <w:r>
        <w:rPr>
          <w:highlight w:val="cyan"/>
          <w:lang w:bidi="ar"/>
        </w:rPr>
        <w:br w:type="page"/>
      </w:r>
      <w:bookmarkStart w:id="25" w:name="_Toc154731051"/>
      <w:bookmarkStart w:id="26" w:name="_Toc29141"/>
      <w:r>
        <w:rPr>
          <w:rFonts w:hint="eastAsia"/>
          <w:highlight w:val="none"/>
          <w:lang w:val="en-US" w:eastAsia="zh-CN" w:bidi="ar"/>
        </w:rPr>
        <w:t>四</w:t>
      </w:r>
      <w:r>
        <w:rPr>
          <w:highlight w:val="none"/>
          <w:lang w:bidi="ar"/>
        </w:rPr>
        <w:t>、授权</w:t>
      </w:r>
      <w:r>
        <w:rPr>
          <w:rFonts w:hint="eastAsia"/>
          <w:highlight w:val="none"/>
          <w:lang w:val="en-US" w:eastAsia="zh-CN" w:bidi="ar"/>
        </w:rPr>
        <w:t>委托</w:t>
      </w:r>
      <w:r>
        <w:rPr>
          <w:highlight w:val="none"/>
          <w:lang w:bidi="ar"/>
        </w:rPr>
        <w:t>书</w:t>
      </w:r>
      <w:bookmarkEnd w:id="25"/>
      <w:bookmarkEnd w:id="26"/>
    </w:p>
    <w:p>
      <w:pPr>
        <w:rPr>
          <w:highlight w:val="cyan"/>
          <w:lang w:bidi="ar"/>
        </w:rPr>
      </w:pPr>
    </w:p>
    <w:p>
      <w:pPr>
        <w:pStyle w:val="32"/>
        <w:snapToGrid w:val="0"/>
        <w:spacing w:line="360" w:lineRule="auto"/>
        <w:ind w:firstLine="480" w:firstLineChars="200"/>
        <w:rPr>
          <w:rFonts w:hAnsi="宋体" w:cs="宋体"/>
          <w:sz w:val="24"/>
          <w:szCs w:val="24"/>
          <w:highlight w:val="none"/>
        </w:rPr>
      </w:pPr>
      <w:r>
        <w:rPr>
          <w:rFonts w:hint="eastAsia" w:hAnsi="宋体" w:cs="宋体"/>
          <w:sz w:val="24"/>
          <w:szCs w:val="24"/>
          <w:highlight w:val="none"/>
        </w:rPr>
        <w:t>本授权书声明：本人</w:t>
      </w:r>
      <w:r>
        <w:rPr>
          <w:rFonts w:hint="eastAsia" w:hAnsi="宋体" w:cs="宋体"/>
          <w:sz w:val="24"/>
          <w:szCs w:val="24"/>
          <w:highlight w:val="none"/>
          <w:u w:val="single"/>
        </w:rPr>
        <w:tab/>
      </w:r>
      <w:r>
        <w:rPr>
          <w:rFonts w:hint="eastAsia" w:hAnsi="宋体" w:cs="宋体"/>
          <w:sz w:val="24"/>
          <w:szCs w:val="24"/>
          <w:highlight w:val="none"/>
          <w:u w:val="single"/>
        </w:rPr>
        <w:t xml:space="preserve">    </w:t>
      </w:r>
      <w:r>
        <w:rPr>
          <w:rFonts w:hint="eastAsia" w:hAnsi="宋体" w:cs="宋体"/>
          <w:sz w:val="24"/>
          <w:szCs w:val="24"/>
          <w:highlight w:val="none"/>
        </w:rPr>
        <w:t>（姓名）系</w:t>
      </w:r>
      <w:r>
        <w:rPr>
          <w:rFonts w:hint="eastAsia" w:hAnsi="宋体" w:cs="宋体"/>
          <w:sz w:val="24"/>
          <w:szCs w:val="24"/>
          <w:highlight w:val="none"/>
          <w:u w:val="single"/>
        </w:rPr>
        <w:tab/>
      </w:r>
      <w:r>
        <w:rPr>
          <w:rFonts w:hint="eastAsia" w:hAnsi="宋体" w:cs="宋体"/>
          <w:sz w:val="24"/>
          <w:szCs w:val="24"/>
          <w:highlight w:val="none"/>
          <w:u w:val="single"/>
        </w:rPr>
        <w:t xml:space="preserve">    </w:t>
      </w:r>
      <w:r>
        <w:rPr>
          <w:rFonts w:hint="eastAsia" w:hAnsi="宋体" w:cs="宋体"/>
          <w:sz w:val="24"/>
          <w:szCs w:val="24"/>
          <w:highlight w:val="none"/>
        </w:rPr>
        <w:t>（供应商名称）的法定代表人（单位负责人），授权</w:t>
      </w:r>
      <w:r>
        <w:rPr>
          <w:rFonts w:hint="eastAsia" w:hAnsi="宋体" w:cs="宋体"/>
          <w:sz w:val="24"/>
          <w:szCs w:val="24"/>
          <w:highlight w:val="none"/>
          <w:u w:val="single"/>
        </w:rPr>
        <w:t xml:space="preserve">       </w:t>
      </w:r>
      <w:r>
        <w:rPr>
          <w:rFonts w:hint="eastAsia" w:hAnsi="宋体" w:cs="宋体"/>
          <w:sz w:val="24"/>
          <w:szCs w:val="24"/>
          <w:highlight w:val="none"/>
        </w:rPr>
        <w:t>（供应商授权代表姓名、职务）代表本公司参加</w:t>
      </w:r>
      <w:r>
        <w:rPr>
          <w:rFonts w:hint="eastAsia" w:hAnsi="宋体" w:cs="宋体"/>
          <w:b/>
          <w:sz w:val="24"/>
          <w:szCs w:val="24"/>
          <w:highlight w:val="none"/>
          <w:u w:val="single"/>
        </w:rPr>
        <w:t xml:space="preserve">           （项目名称）</w:t>
      </w:r>
      <w:r>
        <w:rPr>
          <w:rFonts w:hint="eastAsia" w:hAnsi="宋体" w:cs="宋体"/>
          <w:bCs/>
          <w:sz w:val="24"/>
          <w:szCs w:val="24"/>
          <w:highlight w:val="none"/>
        </w:rPr>
        <w:t>采购活动（项目编号：</w:t>
      </w:r>
      <w:r>
        <w:rPr>
          <w:rFonts w:hint="eastAsia" w:hAnsi="宋体" w:cs="宋体"/>
          <w:b/>
          <w:sz w:val="24"/>
          <w:szCs w:val="24"/>
          <w:highlight w:val="none"/>
          <w:u w:val="single"/>
        </w:rPr>
        <w:t xml:space="preserve">                </w:t>
      </w:r>
      <w:r>
        <w:rPr>
          <w:rFonts w:hint="eastAsia" w:hAnsi="宋体" w:cs="宋体"/>
          <w:bCs/>
          <w:sz w:val="24"/>
          <w:szCs w:val="24"/>
          <w:highlight w:val="none"/>
        </w:rPr>
        <w:t>）</w:t>
      </w:r>
      <w:r>
        <w:rPr>
          <w:rFonts w:hint="eastAsia" w:hAnsi="宋体" w:cs="宋体"/>
          <w:sz w:val="24"/>
          <w:szCs w:val="24"/>
          <w:highlight w:val="none"/>
        </w:rPr>
        <w:t>，全权代表本公司处理磋商过程的一切事宜。委托事宜包括但不限于：递交响应文件、参与澄清、磋商、签约等。供应商授权代表在磋商过程中所签署的一切文件和处理与之有关的一切事务，本公司均予以认可并对此承担责任。供应商授权代表无转委托权。特此授权。</w:t>
      </w:r>
    </w:p>
    <w:p>
      <w:pPr>
        <w:pStyle w:val="32"/>
        <w:snapToGrid w:val="0"/>
        <w:spacing w:line="360" w:lineRule="auto"/>
        <w:ind w:firstLine="480" w:firstLineChars="200"/>
        <w:jc w:val="left"/>
        <w:rPr>
          <w:rFonts w:hAnsi="宋体" w:cs="宋体"/>
          <w:sz w:val="24"/>
          <w:szCs w:val="24"/>
          <w:highlight w:val="none"/>
        </w:rPr>
      </w:pPr>
      <w:r>
        <w:rPr>
          <w:rFonts w:hint="eastAsia" w:hAnsi="宋体" w:cs="宋体"/>
          <w:sz w:val="24"/>
          <w:szCs w:val="24"/>
          <w:highlight w:val="none"/>
        </w:rPr>
        <w:t>本授权书自出具之日起生效。</w:t>
      </w:r>
    </w:p>
    <w:p>
      <w:pPr>
        <w:spacing w:line="360" w:lineRule="auto"/>
        <w:ind w:firstLine="645"/>
        <w:rPr>
          <w:rFonts w:ascii="宋体" w:hAnsi="宋体" w:cs="宋体"/>
          <w:sz w:val="24"/>
          <w:szCs w:val="24"/>
          <w:highlight w:val="none"/>
        </w:rPr>
      </w:pPr>
      <w:r>
        <w:rPr>
          <w:rFonts w:hint="eastAsia" w:ascii="宋体" w:hAnsi="宋体" w:cs="宋体"/>
          <w:sz w:val="24"/>
          <w:szCs w:val="24"/>
          <w:highlight w:val="none"/>
        </w:rPr>
        <w:t>特此声明。</w:t>
      </w:r>
    </w:p>
    <w:p>
      <w:pPr>
        <w:spacing w:line="360" w:lineRule="auto"/>
        <w:ind w:firstLine="645"/>
        <w:rPr>
          <w:rFonts w:ascii="宋体" w:hAnsi="宋体" w:cs="宋体"/>
          <w:sz w:val="24"/>
          <w:szCs w:val="24"/>
          <w:highlight w:val="none"/>
        </w:rPr>
      </w:pPr>
      <w:r>
        <w:rPr>
          <w:rFonts w:hint="eastAsia" w:ascii="宋体" w:hAnsi="宋体"/>
          <w:kern w:val="0"/>
          <w:sz w:val="24"/>
          <w:szCs w:val="24"/>
          <w:highlight w:val="none"/>
        </w:rPr>
        <w:t>附：法定代表人（单位负责人）身份证复制件及委托代理人身份证复制件</w:t>
      </w:r>
    </w:p>
    <w:p>
      <w:pPr>
        <w:spacing w:line="360" w:lineRule="auto"/>
        <w:rPr>
          <w:rFonts w:ascii="宋体" w:hAnsi="宋体" w:cs="宋体"/>
          <w:sz w:val="24"/>
          <w:szCs w:val="24"/>
          <w:highlight w:val="none"/>
        </w:rPr>
      </w:pPr>
      <w:r>
        <w:rPr>
          <w:rFonts w:hint="eastAsia" w:ascii="宋体" w:hAnsi="宋体" w:cs="宋体"/>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2965450</wp:posOffset>
                </wp:positionH>
                <wp:positionV relativeFrom="paragraph">
                  <wp:posOffset>118110</wp:posOffset>
                </wp:positionV>
                <wp:extent cx="1774190" cy="1141095"/>
                <wp:effectExtent l="4445" t="4445" r="12065" b="16510"/>
                <wp:wrapNone/>
                <wp:docPr id="10" name="圆角矩形 10"/>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
                            <w:r>
                              <w:rPr>
                                <w:rFonts w:hint="eastAsia"/>
                              </w:rPr>
                              <w:t>授权代表身份证明复制件正反面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233.5pt;margin-top:9.3pt;height:89.85pt;width:139.7pt;z-index:251659264;mso-width-relative:page;mso-height-relative:page;" fillcolor="#FFFFFF" filled="t" stroked="t" coordsize="21600,21600" arcsize="0.166666666666667" o:gfxdata="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i1mTTXAAAACgEAAA8AAAAAAAAAAQAgAAAAIgAAAGRycy9kb3ducmV2LnhtbFBLAQIUABQAAAAI&#10;AIdO4kDRZb2qYAIAALQEAAAOAAAAAAAAAAEAIAAAACYBAABkcnMvZTJvRG9jLnhtbFBLBQYAAAAA&#10;BgAGAFkBAAD4BQAAAAA=&#10;">
                <v:fill on="t" focussize="0,0"/>
                <v:stroke color="#000000" joinstyle="round"/>
                <v:imagedata o:title=""/>
                <o:lock v:ext="edit" aspectratio="f"/>
                <v:textbox>
                  <w:txbxContent>
                    <w:p/>
                    <w:p/>
                    <w:p>
                      <w:r>
                        <w:rPr>
                          <w:rFonts w:hint="eastAsia"/>
                        </w:rPr>
                        <w:t>授权代表身份证明复制件正反面</w:t>
                      </w:r>
                    </w:p>
                  </w:txbxContent>
                </v:textbox>
              </v:roundrect>
            </w:pict>
          </mc:Fallback>
        </mc:AlternateContent>
      </w:r>
      <w:r>
        <w:rPr>
          <w:rFonts w:hint="eastAsia" w:ascii="宋体" w:hAnsi="宋体" w:cs="宋体"/>
          <w:b/>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118745</wp:posOffset>
                </wp:positionH>
                <wp:positionV relativeFrom="paragraph">
                  <wp:posOffset>127000</wp:posOffset>
                </wp:positionV>
                <wp:extent cx="1774190" cy="1122680"/>
                <wp:effectExtent l="4445" t="4445" r="12065" b="15875"/>
                <wp:wrapNone/>
                <wp:docPr id="1" name="圆角矩形 1"/>
                <wp:cNvGraphicFramePr/>
                <a:graphic xmlns:a="http://schemas.openxmlformats.org/drawingml/2006/main">
                  <a:graphicData uri="http://schemas.microsoft.com/office/word/2010/wordprocessingShape">
                    <wps:wsp>
                      <wps:cNvSpPr>
                        <a:spLocks noChangeArrowheads="1"/>
                      </wps:cNvSpPr>
                      <wps:spPr bwMode="auto">
                        <a:xfrm>
                          <a:off x="0" y="0"/>
                          <a:ext cx="1774190" cy="968375"/>
                        </a:xfrm>
                        <a:prstGeom prst="roundRect">
                          <a:avLst>
                            <a:gd name="adj" fmla="val 16667"/>
                          </a:avLst>
                        </a:prstGeom>
                        <a:solidFill>
                          <a:srgbClr val="FFFFFF"/>
                        </a:solidFill>
                        <a:ln w="9525">
                          <a:solidFill>
                            <a:srgbClr val="000000"/>
                          </a:solidFill>
                          <a:round/>
                        </a:ln>
                        <a:effectLst/>
                      </wps:spPr>
                      <wps:txbx>
                        <w:txbxContent>
                          <w:p/>
                          <w:p>
                            <w:pPr>
                              <w:spacing w:before="48" w:beforeLines="20" w:after="48" w:afterLines="20" w:line="540" w:lineRule="exact"/>
                            </w:pPr>
                            <w:r>
                              <w:rPr>
                                <w:rFonts w:hint="eastAsia"/>
                              </w:rPr>
                              <w:t>法定代表人（单位负责人）</w:t>
                            </w:r>
                          </w:p>
                          <w:p>
                            <w:r>
                              <w:rPr>
                                <w:rFonts w:hint="eastAsia"/>
                              </w:rPr>
                              <w:t>身份证明复制件正反面</w:t>
                            </w:r>
                          </w:p>
                        </w:txbxContent>
                      </wps:txbx>
                      <wps:bodyPr rot="0" vert="horz" wrap="square" lIns="91440" tIns="45720" rIns="91440" bIns="45720" anchor="t" anchorCtr="0" upright="1">
                        <a:noAutofit/>
                      </wps:bodyPr>
                    </wps:wsp>
                  </a:graphicData>
                </a:graphic>
              </wp:anchor>
            </w:drawing>
          </mc:Choice>
          <mc:Fallback>
            <w:pict>
              <v:roundrect id="_x0000_s1026" o:spid="_x0000_s1026" o:spt="2" style="position:absolute;left:0pt;margin-left:9.35pt;margin-top:10pt;height:88.4pt;width:139.7pt;z-index:251660288;mso-width-relative:page;mso-height-relative:page;" fillcolor="#FFFFFF" filled="t" stroked="t" coordsize="21600,21600" arcsize="0.166666666666667" o:gfxdata="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B1DjX0wAA&#10;AAkBAAAPAAAAAAAAAAEAIAAAACIAAABkcnMvZG93bnJldi54bWxQSwECFAAUAAAACACHTuJAN/FI&#10;FlwCAACyBAAADgAAAAAAAAABACAAAAAiAQAAZHJzL2Uyb0RvYy54bWxQSwUGAAAAAAYABgBZAQAA&#10;8AUAAAAA&#10;">
                <v:fill on="t" focussize="0,0"/>
                <v:stroke color="#000000" joinstyle="round"/>
                <v:imagedata o:title=""/>
                <o:lock v:ext="edit" aspectratio="f"/>
                <v:textbox>
                  <w:txbxContent>
                    <w:p/>
                    <w:p>
                      <w:pPr>
                        <w:spacing w:before="48" w:beforeLines="20" w:after="48" w:afterLines="20" w:line="540" w:lineRule="exact"/>
                      </w:pPr>
                      <w:r>
                        <w:rPr>
                          <w:rFonts w:hint="eastAsia"/>
                        </w:rPr>
                        <w:t>法定代表人（单位负责人）</w:t>
                      </w:r>
                    </w:p>
                    <w:p>
                      <w:r>
                        <w:rPr>
                          <w:rFonts w:hint="eastAsia"/>
                        </w:rPr>
                        <w:t>身份证明复制件正反面</w:t>
                      </w:r>
                    </w:p>
                  </w:txbxContent>
                </v:textbox>
              </v:roundrect>
            </w:pict>
          </mc:Fallback>
        </mc:AlternateContent>
      </w:r>
    </w:p>
    <w:p>
      <w:pPr>
        <w:spacing w:before="48" w:beforeLines="20" w:after="48" w:afterLines="20" w:line="540" w:lineRule="exact"/>
        <w:rPr>
          <w:rFonts w:ascii="宋体" w:hAnsi="宋体" w:cs="宋体"/>
          <w:sz w:val="24"/>
          <w:szCs w:val="24"/>
          <w:highlight w:val="none"/>
        </w:rPr>
      </w:pPr>
    </w:p>
    <w:p>
      <w:pPr>
        <w:spacing w:line="360" w:lineRule="auto"/>
        <w:rPr>
          <w:rFonts w:ascii="宋体" w:hAnsi="宋体" w:cs="宋体"/>
          <w:sz w:val="24"/>
          <w:szCs w:val="24"/>
          <w:highlight w:val="none"/>
        </w:rPr>
      </w:pPr>
    </w:p>
    <w:p>
      <w:pPr>
        <w:spacing w:line="360" w:lineRule="auto"/>
        <w:rPr>
          <w:rFonts w:ascii="宋体" w:hAnsi="宋体" w:cs="宋体"/>
          <w:sz w:val="24"/>
          <w:szCs w:val="24"/>
          <w:highlight w:val="none"/>
        </w:rPr>
      </w:pPr>
    </w:p>
    <w:p>
      <w:pPr>
        <w:widowControl/>
        <w:spacing w:line="360" w:lineRule="auto"/>
        <w:rPr>
          <w:rFonts w:ascii="宋体" w:hAnsi="宋体"/>
          <w:kern w:val="0"/>
          <w:sz w:val="24"/>
          <w:szCs w:val="24"/>
          <w:highlight w:val="none"/>
        </w:rPr>
      </w:pPr>
    </w:p>
    <w:p>
      <w:pPr>
        <w:pStyle w:val="154"/>
        <w:spacing w:line="360" w:lineRule="auto"/>
        <w:rPr>
          <w:sz w:val="24"/>
          <w:szCs w:val="24"/>
          <w:highlight w:val="none"/>
          <w:u w:val="single"/>
        </w:rPr>
      </w:pPr>
      <w:r>
        <w:rPr>
          <w:rFonts w:hint="eastAsia"/>
          <w:sz w:val="24"/>
          <w:szCs w:val="24"/>
          <w:highlight w:val="none"/>
        </w:rPr>
        <w:t>授权代表身份证号码：</w:t>
      </w:r>
      <w:r>
        <w:rPr>
          <w:rFonts w:hint="eastAsia"/>
          <w:sz w:val="24"/>
          <w:szCs w:val="24"/>
          <w:highlight w:val="none"/>
          <w:u w:val="single"/>
        </w:rPr>
        <w:t xml:space="preserve">                   </w:t>
      </w:r>
    </w:p>
    <w:p>
      <w:pPr>
        <w:pStyle w:val="154"/>
        <w:spacing w:line="360" w:lineRule="auto"/>
        <w:rPr>
          <w:sz w:val="24"/>
          <w:szCs w:val="24"/>
          <w:highlight w:val="none"/>
          <w:u w:val="single"/>
        </w:rPr>
      </w:pPr>
      <w:r>
        <w:rPr>
          <w:rFonts w:hint="eastAsia"/>
          <w:sz w:val="24"/>
          <w:szCs w:val="24"/>
          <w:highlight w:val="none"/>
        </w:rPr>
        <w:t>授权代表联系方式：</w:t>
      </w:r>
      <w:r>
        <w:rPr>
          <w:rFonts w:hint="eastAsia"/>
          <w:sz w:val="24"/>
          <w:szCs w:val="24"/>
          <w:highlight w:val="none"/>
          <w:u w:val="single"/>
        </w:rPr>
        <w:t xml:space="preserve">              </w:t>
      </w:r>
    </w:p>
    <w:p>
      <w:pPr>
        <w:pStyle w:val="154"/>
        <w:spacing w:line="360" w:lineRule="auto"/>
        <w:rPr>
          <w:sz w:val="24"/>
          <w:szCs w:val="24"/>
          <w:highlight w:val="none"/>
          <w:u w:val="single"/>
        </w:rPr>
      </w:pPr>
      <w:r>
        <w:rPr>
          <w:rFonts w:hint="eastAsia"/>
          <w:sz w:val="24"/>
          <w:szCs w:val="24"/>
          <w:highlight w:val="none"/>
        </w:rPr>
        <w:t>供应商：</w:t>
      </w:r>
      <w:r>
        <w:rPr>
          <w:rFonts w:hint="eastAsia"/>
          <w:sz w:val="24"/>
          <w:szCs w:val="24"/>
          <w:highlight w:val="none"/>
          <w:u w:val="single"/>
        </w:rPr>
        <w:t xml:space="preserve">                  （签章）</w:t>
      </w:r>
    </w:p>
    <w:p>
      <w:pPr>
        <w:pStyle w:val="154"/>
        <w:spacing w:line="360" w:lineRule="auto"/>
        <w:rPr>
          <w:sz w:val="24"/>
          <w:szCs w:val="24"/>
          <w:highlight w:val="none"/>
        </w:rPr>
      </w:pPr>
      <w:r>
        <w:rPr>
          <w:rFonts w:hint="eastAsia"/>
          <w:sz w:val="24"/>
          <w:szCs w:val="24"/>
          <w:highlight w:val="none"/>
        </w:rPr>
        <w:t>法定代表人（单位负责人）：</w:t>
      </w:r>
      <w:r>
        <w:rPr>
          <w:rFonts w:hint="eastAsia"/>
          <w:sz w:val="24"/>
          <w:szCs w:val="24"/>
          <w:highlight w:val="none"/>
          <w:u w:val="single"/>
        </w:rPr>
        <w:t xml:space="preserve">                   </w:t>
      </w:r>
      <w:r>
        <w:rPr>
          <w:rFonts w:hint="eastAsia"/>
          <w:sz w:val="24"/>
          <w:szCs w:val="24"/>
          <w:highlight w:val="none"/>
        </w:rPr>
        <w:t>（签字或签章）</w:t>
      </w:r>
    </w:p>
    <w:p>
      <w:pPr>
        <w:pStyle w:val="154"/>
        <w:spacing w:line="360" w:lineRule="auto"/>
        <w:rPr>
          <w:sz w:val="24"/>
          <w:szCs w:val="24"/>
          <w:highlight w:val="none"/>
          <w:u w:val="single"/>
        </w:rPr>
      </w:pPr>
      <w:r>
        <w:rPr>
          <w:rFonts w:hint="eastAsia"/>
          <w:sz w:val="24"/>
          <w:szCs w:val="24"/>
          <w:highlight w:val="none"/>
        </w:rPr>
        <w:t>法定代表人联系方式：</w:t>
      </w:r>
      <w:r>
        <w:rPr>
          <w:rFonts w:hint="eastAsia"/>
          <w:sz w:val="24"/>
          <w:szCs w:val="24"/>
          <w:highlight w:val="none"/>
          <w:u w:val="single"/>
        </w:rPr>
        <w:t xml:space="preserve">                   </w:t>
      </w:r>
    </w:p>
    <w:p>
      <w:pPr>
        <w:pStyle w:val="154"/>
        <w:spacing w:line="360" w:lineRule="auto"/>
        <w:rPr>
          <w:sz w:val="24"/>
          <w:szCs w:val="24"/>
          <w:highlight w:val="none"/>
        </w:rPr>
      </w:pPr>
      <w:r>
        <w:rPr>
          <w:rFonts w:hint="eastAsia"/>
          <w:sz w:val="24"/>
          <w:szCs w:val="24"/>
          <w:highlight w:val="none"/>
        </w:rPr>
        <w:t>授权委托日期：</w:t>
      </w:r>
      <w:r>
        <w:rPr>
          <w:rFonts w:hint="eastAsia"/>
          <w:sz w:val="24"/>
          <w:szCs w:val="24"/>
          <w:highlight w:val="none"/>
          <w:u w:val="single"/>
        </w:rPr>
        <w:t xml:space="preserve">            </w:t>
      </w:r>
      <w:r>
        <w:rPr>
          <w:rFonts w:hint="eastAsia"/>
          <w:sz w:val="24"/>
          <w:szCs w:val="24"/>
          <w:highlight w:val="none"/>
        </w:rPr>
        <w:t>年</w:t>
      </w:r>
      <w:r>
        <w:rPr>
          <w:rFonts w:hint="eastAsia"/>
          <w:sz w:val="24"/>
          <w:szCs w:val="24"/>
          <w:highlight w:val="none"/>
          <w:u w:val="single"/>
        </w:rPr>
        <w:t xml:space="preserve">        </w:t>
      </w:r>
      <w:r>
        <w:rPr>
          <w:rFonts w:hint="eastAsia"/>
          <w:sz w:val="24"/>
          <w:szCs w:val="24"/>
          <w:highlight w:val="none"/>
        </w:rPr>
        <w:t>月</w:t>
      </w:r>
      <w:r>
        <w:rPr>
          <w:rFonts w:hint="eastAsia"/>
          <w:sz w:val="24"/>
          <w:szCs w:val="24"/>
          <w:highlight w:val="none"/>
          <w:u w:val="single"/>
        </w:rPr>
        <w:t xml:space="preserve">       </w:t>
      </w:r>
      <w:r>
        <w:rPr>
          <w:rFonts w:hint="eastAsia"/>
          <w:sz w:val="24"/>
          <w:szCs w:val="24"/>
          <w:highlight w:val="none"/>
        </w:rPr>
        <w:t>日</w:t>
      </w:r>
    </w:p>
    <w:p>
      <w:pPr>
        <w:pStyle w:val="154"/>
        <w:snapToGrid w:val="0"/>
        <w:spacing w:line="360" w:lineRule="auto"/>
        <w:rPr>
          <w:sz w:val="24"/>
          <w:szCs w:val="24"/>
          <w:highlight w:val="none"/>
        </w:rPr>
      </w:pPr>
      <w:r>
        <w:rPr>
          <w:rFonts w:hint="eastAsia"/>
          <w:sz w:val="24"/>
          <w:szCs w:val="24"/>
          <w:highlight w:val="none"/>
        </w:rPr>
        <w:t xml:space="preserve">注： </w:t>
      </w:r>
    </w:p>
    <w:p>
      <w:pPr>
        <w:pStyle w:val="32"/>
        <w:snapToGrid w:val="0"/>
        <w:spacing w:line="360" w:lineRule="auto"/>
        <w:rPr>
          <w:rFonts w:hAnsi="宋体" w:cs="宋体"/>
          <w:sz w:val="24"/>
          <w:szCs w:val="24"/>
          <w:highlight w:val="none"/>
        </w:rPr>
      </w:pPr>
      <w:r>
        <w:rPr>
          <w:rFonts w:hint="eastAsia" w:hAnsi="宋体" w:cs="宋体"/>
          <w:sz w:val="24"/>
          <w:szCs w:val="24"/>
          <w:highlight w:val="none"/>
        </w:rPr>
        <w:t xml:space="preserve">1、本项目只允许有唯一的供应商授权代表，并提供身份证明扫描件。 </w:t>
      </w:r>
    </w:p>
    <w:p>
      <w:pPr>
        <w:pStyle w:val="32"/>
        <w:snapToGrid w:val="0"/>
        <w:spacing w:line="360" w:lineRule="auto"/>
        <w:rPr>
          <w:rFonts w:hAnsi="宋体" w:cs="宋体"/>
          <w:sz w:val="24"/>
          <w:szCs w:val="24"/>
          <w:highlight w:val="none"/>
        </w:rPr>
      </w:pPr>
      <w:r>
        <w:rPr>
          <w:rFonts w:hint="eastAsia" w:hAnsi="宋体" w:cs="宋体"/>
          <w:sz w:val="24"/>
          <w:szCs w:val="24"/>
          <w:highlight w:val="none"/>
        </w:rPr>
        <w:t>2、法定代表人（单位负责人）参加磋商采购活动的，无需授权书，提供身份证明扫描件。</w:t>
      </w:r>
    </w:p>
    <w:p>
      <w:pPr>
        <w:widowControl/>
        <w:jc w:val="left"/>
        <w:rPr>
          <w:rFonts w:ascii="宋体" w:hAnsi="宋体" w:cs="宋体"/>
          <w:sz w:val="24"/>
          <w:szCs w:val="18"/>
          <w:highlight w:val="cyan"/>
          <w:lang w:bidi="ar"/>
        </w:rPr>
      </w:pPr>
      <w:r>
        <w:rPr>
          <w:rFonts w:ascii="宋体" w:hAnsi="宋体" w:cs="宋体"/>
          <w:sz w:val="24"/>
          <w:szCs w:val="18"/>
          <w:highlight w:val="cyan"/>
          <w:lang w:bidi="ar"/>
        </w:rPr>
        <w:br w:type="page"/>
      </w:r>
    </w:p>
    <w:p>
      <w:pPr>
        <w:pStyle w:val="113"/>
        <w:rPr>
          <w:highlight w:val="cyan"/>
          <w:lang w:bidi="ar"/>
        </w:rPr>
      </w:pPr>
    </w:p>
    <w:p>
      <w:pPr>
        <w:pStyle w:val="5"/>
        <w:numPr>
          <w:ilvl w:val="0"/>
          <w:numId w:val="0"/>
        </w:numPr>
        <w:spacing w:after="0" w:afterAutospacing="0"/>
        <w:rPr>
          <w:highlight w:val="none"/>
        </w:rPr>
      </w:pPr>
      <w:bookmarkStart w:id="27" w:name="_Toc4599"/>
      <w:bookmarkStart w:id="28" w:name="_Toc154731053"/>
      <w:r>
        <w:rPr>
          <w:rFonts w:hint="eastAsia" w:cs="Times New Roman"/>
          <w:b/>
          <w:bCs/>
          <w:kern w:val="2"/>
          <w:sz w:val="28"/>
          <w:szCs w:val="32"/>
          <w:lang w:val="en-US" w:eastAsia="zh-CN" w:bidi="ar-SA"/>
        </w:rPr>
        <w:t>五</w:t>
      </w:r>
      <w:r>
        <w:rPr>
          <w:rFonts w:hint="eastAsia" w:ascii="@仿宋_GB2312" w:hAnsi="@仿宋_GB2312" w:eastAsia="宋体" w:cs="Times New Roman"/>
          <w:b/>
          <w:bCs/>
          <w:kern w:val="2"/>
          <w:sz w:val="28"/>
          <w:szCs w:val="32"/>
          <w:lang w:val="en-US" w:eastAsia="zh-CN" w:bidi="ar-SA"/>
        </w:rPr>
        <w:t>、</w:t>
      </w:r>
      <w:r>
        <w:rPr>
          <w:highlight w:val="none"/>
        </w:rPr>
        <w:t>响应表</w:t>
      </w:r>
      <w:bookmarkEnd w:id="27"/>
      <w:bookmarkEnd w:id="28"/>
    </w:p>
    <w:p>
      <w:pPr>
        <w:numPr>
          <w:ilvl w:val="0"/>
          <w:numId w:val="0"/>
        </w:numPr>
        <w:spacing w:before="122" w:beforeLines="42" w:beforeAutospacing="0" w:after="145" w:afterLines="50" w:afterAutospacing="0"/>
        <w:jc w:val="center"/>
        <w:rPr>
          <w:rFonts w:hint="eastAsia" w:eastAsia="宋体"/>
          <w:b/>
          <w:bCs/>
          <w:lang w:eastAsia="zh-CN"/>
        </w:rPr>
      </w:pPr>
      <w:r>
        <w:rPr>
          <w:rFonts w:hint="eastAsia"/>
          <w:b/>
          <w:bCs/>
          <w:lang w:eastAsia="zh-CN"/>
        </w:rPr>
        <w:t>（</w:t>
      </w:r>
      <w:r>
        <w:rPr>
          <w:rFonts w:hint="eastAsia"/>
          <w:b/>
          <w:bCs/>
          <w:lang w:val="en-US" w:eastAsia="zh-CN"/>
        </w:rPr>
        <w:t>供应商可自行编辑</w:t>
      </w:r>
      <w:r>
        <w:rPr>
          <w:rFonts w:hint="eastAsia"/>
          <w:b/>
          <w:bCs/>
          <w:lang w:eastAsia="zh-CN"/>
        </w:rPr>
        <w:t>）</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503"/>
        <w:gridCol w:w="2734"/>
        <w:gridCol w:w="201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widowControl/>
              <w:spacing w:beforeAutospacing="0"/>
              <w:jc w:val="center"/>
              <w:rPr>
                <w:rFonts w:ascii="宋体" w:hAnsi="宋体"/>
                <w:b/>
                <w:sz w:val="24"/>
                <w:highlight w:val="none"/>
              </w:rPr>
            </w:pPr>
            <w:r>
              <w:rPr>
                <w:rFonts w:hint="eastAsia" w:ascii="宋体" w:hAnsi="宋体"/>
                <w:b/>
                <w:sz w:val="24"/>
                <w:highlight w:val="none"/>
              </w:rPr>
              <w:t>序号</w:t>
            </w:r>
          </w:p>
        </w:tc>
        <w:tc>
          <w:tcPr>
            <w:tcW w:w="1271" w:type="pct"/>
            <w:vAlign w:val="center"/>
          </w:tcPr>
          <w:p>
            <w:pPr>
              <w:widowControl/>
              <w:jc w:val="center"/>
              <w:rPr>
                <w:rFonts w:ascii="宋体" w:hAnsi="宋体"/>
                <w:b/>
                <w:sz w:val="24"/>
                <w:highlight w:val="none"/>
              </w:rPr>
            </w:pPr>
            <w:r>
              <w:rPr>
                <w:rFonts w:hint="eastAsia" w:ascii="宋体" w:hAnsi="宋体"/>
                <w:b/>
                <w:sz w:val="24"/>
                <w:highlight w:val="none"/>
              </w:rPr>
              <w:t>商务条款</w:t>
            </w:r>
          </w:p>
        </w:tc>
        <w:tc>
          <w:tcPr>
            <w:tcW w:w="1388" w:type="pct"/>
            <w:vAlign w:val="center"/>
          </w:tcPr>
          <w:p>
            <w:pPr>
              <w:widowControl/>
              <w:jc w:val="center"/>
              <w:rPr>
                <w:rFonts w:ascii="宋体" w:hAnsi="宋体"/>
                <w:b/>
                <w:sz w:val="24"/>
                <w:highlight w:val="none"/>
              </w:rPr>
            </w:pPr>
            <w:r>
              <w:rPr>
                <w:rFonts w:hint="eastAsia" w:ascii="宋体" w:hAnsi="宋体"/>
                <w:b/>
                <w:sz w:val="24"/>
                <w:highlight w:val="none"/>
                <w:lang w:eastAsia="zh-CN"/>
              </w:rPr>
              <w:t>比选</w:t>
            </w:r>
            <w:r>
              <w:rPr>
                <w:rFonts w:hint="eastAsia" w:ascii="宋体" w:hAnsi="宋体"/>
                <w:b/>
                <w:sz w:val="24"/>
                <w:highlight w:val="none"/>
              </w:rPr>
              <w:t>文件要求</w:t>
            </w:r>
          </w:p>
        </w:tc>
        <w:tc>
          <w:tcPr>
            <w:tcW w:w="1023" w:type="pct"/>
            <w:vAlign w:val="center"/>
          </w:tcPr>
          <w:p>
            <w:pPr>
              <w:widowControl/>
              <w:jc w:val="center"/>
              <w:rPr>
                <w:rFonts w:ascii="宋体" w:hAnsi="宋体"/>
                <w:b/>
                <w:sz w:val="24"/>
                <w:highlight w:val="none"/>
              </w:rPr>
            </w:pPr>
            <w:r>
              <w:rPr>
                <w:rFonts w:hint="eastAsia" w:ascii="宋体" w:hAnsi="宋体"/>
                <w:b/>
                <w:sz w:val="24"/>
                <w:highlight w:val="none"/>
              </w:rPr>
              <w:t>供应商承诺</w:t>
            </w:r>
          </w:p>
        </w:tc>
        <w:tc>
          <w:tcPr>
            <w:tcW w:w="832" w:type="pct"/>
            <w:vAlign w:val="center"/>
          </w:tcPr>
          <w:p>
            <w:pPr>
              <w:widowControl/>
              <w:jc w:val="center"/>
              <w:rPr>
                <w:rFonts w:ascii="宋体" w:hAnsi="宋体"/>
                <w:b/>
                <w:sz w:val="24"/>
                <w:highlight w:val="none"/>
              </w:rPr>
            </w:pPr>
            <w:r>
              <w:rPr>
                <w:rFonts w:hint="eastAsia" w:ascii="宋体" w:hAnsi="宋体"/>
                <w:b/>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1</w:t>
            </w:r>
          </w:p>
        </w:tc>
        <w:tc>
          <w:tcPr>
            <w:tcW w:w="1271"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付款方式</w:t>
            </w:r>
          </w:p>
        </w:tc>
        <w:tc>
          <w:tcPr>
            <w:tcW w:w="1388"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2</w:t>
            </w:r>
          </w:p>
        </w:tc>
        <w:tc>
          <w:tcPr>
            <w:tcW w:w="1271"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服务地点</w:t>
            </w:r>
          </w:p>
        </w:tc>
        <w:tc>
          <w:tcPr>
            <w:tcW w:w="1388"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3</w:t>
            </w:r>
          </w:p>
        </w:tc>
        <w:tc>
          <w:tcPr>
            <w:tcW w:w="1271"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服务期限</w:t>
            </w:r>
          </w:p>
        </w:tc>
        <w:tc>
          <w:tcPr>
            <w:tcW w:w="1388"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w:t>
            </w:r>
          </w:p>
        </w:tc>
        <w:tc>
          <w:tcPr>
            <w:tcW w:w="1271" w:type="pct"/>
            <w:vAlign w:val="center"/>
          </w:tcPr>
          <w:p>
            <w:pPr>
              <w:spacing w:line="360" w:lineRule="auto"/>
              <w:jc w:val="center"/>
              <w:rPr>
                <w:rFonts w:ascii="宋体" w:hAnsi="宋体"/>
                <w:sz w:val="24"/>
                <w:szCs w:val="24"/>
                <w:highlight w:val="none"/>
              </w:rPr>
            </w:pPr>
          </w:p>
        </w:tc>
        <w:tc>
          <w:tcPr>
            <w:tcW w:w="1388"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bl>
    <w:p>
      <w:pPr>
        <w:spacing w:before="288" w:beforeLines="100" w:beforeAutospacing="0" w:line="360" w:lineRule="auto"/>
        <w:ind w:left="6300" w:leftChars="3000" w:right="1533" w:rightChars="730" w:firstLine="0" w:firstLineChars="0"/>
        <w:jc w:val="right"/>
        <w:rPr>
          <w:rFonts w:ascii="宋体" w:hAnsi="宋体" w:cs="宋体"/>
          <w:sz w:val="24"/>
          <w:szCs w:val="18"/>
          <w:highlight w:val="none"/>
          <w:lang w:bidi="ar"/>
        </w:rPr>
      </w:pPr>
      <w:r>
        <w:rPr>
          <w:rFonts w:ascii="宋体" w:hAnsi="宋体" w:cs="宋体"/>
          <w:sz w:val="24"/>
          <w:szCs w:val="18"/>
          <w:highlight w:val="none"/>
          <w:lang w:bidi="ar"/>
        </w:rPr>
        <w:t>供应商</w:t>
      </w:r>
      <w:r>
        <w:rPr>
          <w:rFonts w:hint="eastAsia" w:ascii="宋体" w:hAnsi="宋体" w:cs="宋体"/>
          <w:sz w:val="24"/>
          <w:szCs w:val="18"/>
          <w:highlight w:val="none"/>
          <w:lang w:bidi="ar"/>
        </w:rPr>
        <w:t>公</w:t>
      </w:r>
      <w:r>
        <w:rPr>
          <w:rFonts w:ascii="宋体" w:hAnsi="宋体" w:cs="宋体"/>
          <w:sz w:val="24"/>
          <w:szCs w:val="18"/>
          <w:highlight w:val="none"/>
          <w:lang w:bidi="ar"/>
        </w:rPr>
        <w:t>章：</w:t>
      </w:r>
    </w:p>
    <w:p>
      <w:pPr>
        <w:spacing w:line="360" w:lineRule="auto"/>
        <w:ind w:left="6676" w:leftChars="3179" w:right="1533" w:rightChars="730" w:firstLine="0" w:firstLineChars="0"/>
        <w:jc w:val="right"/>
        <w:rPr>
          <w:rFonts w:ascii="宋体" w:hAnsi="宋体" w:cs="宋体"/>
          <w:sz w:val="24"/>
          <w:szCs w:val="18"/>
          <w:highlight w:val="none"/>
          <w:lang w:bidi="ar"/>
        </w:rPr>
      </w:pPr>
      <w:r>
        <w:rPr>
          <w:rFonts w:ascii="宋体" w:hAnsi="宋体" w:cs="宋体"/>
          <w:sz w:val="24"/>
          <w:szCs w:val="18"/>
          <w:highlight w:val="none"/>
          <w:lang w:bidi="ar"/>
        </w:rPr>
        <w:t xml:space="preserve">日 </w:t>
      </w:r>
      <w:r>
        <w:rPr>
          <w:rFonts w:hint="eastAsia" w:ascii="宋体" w:hAnsi="宋体" w:cs="宋体"/>
          <w:sz w:val="24"/>
          <w:szCs w:val="18"/>
          <w:highlight w:val="none"/>
          <w:lang w:bidi="ar"/>
        </w:rPr>
        <w:t xml:space="preserve">     </w:t>
      </w:r>
      <w:r>
        <w:rPr>
          <w:rFonts w:ascii="宋体" w:hAnsi="宋体" w:cs="宋体"/>
          <w:sz w:val="24"/>
          <w:szCs w:val="18"/>
          <w:highlight w:val="none"/>
          <w:lang w:bidi="ar"/>
        </w:rPr>
        <w:t>期：</w:t>
      </w:r>
    </w:p>
    <w:p>
      <w:pPr>
        <w:spacing w:line="360" w:lineRule="auto"/>
        <w:ind w:firstLine="480" w:firstLineChars="200"/>
        <w:rPr>
          <w:rFonts w:ascii="宋体" w:hAnsi="宋体" w:cs="宋体"/>
          <w:sz w:val="24"/>
          <w:szCs w:val="18"/>
          <w:highlight w:val="none"/>
          <w:lang w:bidi="ar"/>
        </w:rPr>
      </w:pPr>
    </w:p>
    <w:p>
      <w:pPr>
        <w:pStyle w:val="5"/>
        <w:rPr>
          <w:rFonts w:ascii="MTJPQQ+ËÎÌå"/>
          <w:highlight w:val="none"/>
        </w:rPr>
      </w:pPr>
      <w:r>
        <w:rPr>
          <w:szCs w:val="18"/>
          <w:highlight w:val="cyan"/>
          <w:lang w:bidi="ar"/>
        </w:rPr>
        <w:br w:type="page"/>
      </w:r>
      <w:bookmarkStart w:id="29" w:name="_Toc154731054"/>
      <w:bookmarkStart w:id="30" w:name="_Toc24747"/>
      <w:r>
        <w:rPr>
          <w:rFonts w:hint="eastAsia" w:ascii="MTJPQQ+ËÎÌå" w:hAnsi="MTJPQQ+ËÎÌå" w:cs="MTJPQQ+ËÎÌå"/>
          <w:spacing w:val="1"/>
          <w:highlight w:val="none"/>
          <w:lang w:val="en-US" w:eastAsia="zh-CN"/>
        </w:rPr>
        <w:t>六</w:t>
      </w:r>
      <w:r>
        <w:rPr>
          <w:rFonts w:ascii="MTJPQQ+ËÎÌå" w:hAnsi="MTJPQQ+ËÎÌå" w:cs="MTJPQQ+ËÎÌå"/>
          <w:spacing w:val="1"/>
          <w:highlight w:val="none"/>
        </w:rPr>
        <w:t>、人</w:t>
      </w:r>
      <w:r>
        <w:rPr>
          <w:rFonts w:hint="eastAsia"/>
          <w:highlight w:val="none"/>
        </w:rPr>
        <w:t>员配备</w:t>
      </w:r>
      <w:bookmarkEnd w:id="29"/>
      <w:bookmarkEnd w:id="30"/>
    </w:p>
    <w:p>
      <w:pPr>
        <w:spacing w:line="360" w:lineRule="auto"/>
        <w:jc w:val="center"/>
        <w:rPr>
          <w:rFonts w:ascii="宋体" w:hAnsi="宋体" w:cs="宋体"/>
          <w:b/>
          <w:bCs/>
          <w:sz w:val="24"/>
          <w:szCs w:val="18"/>
          <w:highlight w:val="none"/>
          <w:lang w:bidi="ar"/>
        </w:rPr>
      </w:pPr>
      <w:r>
        <w:rPr>
          <w:rFonts w:ascii="宋体" w:hAnsi="宋体" w:cs="宋体"/>
          <w:b/>
          <w:bCs/>
          <w:sz w:val="24"/>
          <w:szCs w:val="18"/>
          <w:highlight w:val="none"/>
          <w:lang w:bidi="ar"/>
        </w:rPr>
        <w:t>(</w:t>
      </w:r>
      <w:r>
        <w:rPr>
          <w:rFonts w:hint="eastAsia" w:ascii="宋体" w:hAnsi="宋体" w:cs="宋体"/>
          <w:b/>
          <w:bCs/>
          <w:sz w:val="24"/>
          <w:szCs w:val="18"/>
          <w:highlight w:val="none"/>
          <w:lang w:bidi="ar"/>
        </w:rPr>
        <w:t>供应商可自行编辑</w:t>
      </w:r>
      <w:r>
        <w:rPr>
          <w:rFonts w:ascii="宋体" w:hAnsi="宋体" w:cs="宋体"/>
          <w:b/>
          <w:bCs/>
          <w:sz w:val="24"/>
          <w:szCs w:val="18"/>
          <w:highlight w:val="none"/>
          <w:lang w:bidi="ar"/>
        </w:rPr>
        <w:t>)</w:t>
      </w:r>
    </w:p>
    <w:p>
      <w:pPr>
        <w:pStyle w:val="5"/>
        <w:rPr>
          <w:highlight w:val="none"/>
        </w:rPr>
      </w:pPr>
      <w:r>
        <w:rPr>
          <w:rFonts w:ascii="宋体" w:hAnsi="宋体" w:cs="宋体"/>
          <w:szCs w:val="18"/>
          <w:highlight w:val="cyan"/>
          <w:lang w:bidi="ar"/>
        </w:rPr>
        <w:br w:type="page"/>
      </w:r>
      <w:bookmarkStart w:id="31" w:name="_Toc154731055"/>
      <w:bookmarkStart w:id="32" w:name="_Toc22961"/>
      <w:r>
        <w:rPr>
          <w:rFonts w:hint="eastAsia"/>
          <w:highlight w:val="none"/>
          <w:lang w:val="en-US" w:eastAsia="zh-CN"/>
        </w:rPr>
        <w:t>七</w:t>
      </w:r>
      <w:r>
        <w:rPr>
          <w:highlight w:val="none"/>
        </w:rPr>
        <w:t>、服务方案</w:t>
      </w:r>
      <w:bookmarkEnd w:id="31"/>
      <w:bookmarkEnd w:id="32"/>
    </w:p>
    <w:p>
      <w:pPr>
        <w:spacing w:line="360" w:lineRule="auto"/>
        <w:jc w:val="center"/>
        <w:rPr>
          <w:rFonts w:ascii="宋体" w:hAnsi="宋体" w:cs="宋体"/>
          <w:b/>
          <w:bCs/>
          <w:sz w:val="24"/>
          <w:szCs w:val="18"/>
          <w:highlight w:val="none"/>
          <w:lang w:bidi="ar"/>
        </w:rPr>
      </w:pPr>
      <w:r>
        <w:rPr>
          <w:rFonts w:ascii="宋体" w:hAnsi="宋体" w:cs="宋体"/>
          <w:b/>
          <w:bCs/>
          <w:sz w:val="24"/>
          <w:szCs w:val="18"/>
          <w:highlight w:val="none"/>
          <w:lang w:bidi="ar"/>
        </w:rPr>
        <w:t>(</w:t>
      </w:r>
      <w:r>
        <w:rPr>
          <w:rFonts w:hint="eastAsia" w:ascii="宋体" w:hAnsi="宋体" w:cs="宋体"/>
          <w:b/>
          <w:bCs/>
          <w:sz w:val="24"/>
          <w:szCs w:val="18"/>
          <w:highlight w:val="none"/>
          <w:lang w:bidi="ar"/>
        </w:rPr>
        <w:t>供应商可自行编辑</w:t>
      </w:r>
      <w:r>
        <w:rPr>
          <w:rFonts w:ascii="宋体" w:hAnsi="宋体" w:cs="宋体"/>
          <w:b/>
          <w:bCs/>
          <w:sz w:val="24"/>
          <w:szCs w:val="18"/>
          <w:highlight w:val="none"/>
          <w:lang w:bidi="ar"/>
        </w:rPr>
        <w:t>)</w:t>
      </w:r>
    </w:p>
    <w:p>
      <w:pPr>
        <w:spacing w:line="360" w:lineRule="auto"/>
        <w:jc w:val="center"/>
        <w:rPr>
          <w:rFonts w:ascii="宋体" w:hAnsi="宋体" w:cs="宋体"/>
          <w:sz w:val="24"/>
          <w:szCs w:val="18"/>
          <w:highlight w:val="cyan"/>
          <w:lang w:bidi="ar"/>
        </w:rPr>
      </w:pPr>
      <w:r>
        <w:rPr>
          <w:rFonts w:ascii="宋体" w:hAnsi="宋体" w:cs="宋体"/>
          <w:szCs w:val="18"/>
          <w:highlight w:val="cyan"/>
          <w:lang w:bidi="ar"/>
        </w:rPr>
        <w:br w:type="page"/>
      </w:r>
    </w:p>
    <w:p>
      <w:pPr>
        <w:pStyle w:val="5"/>
        <w:rPr>
          <w:highlight w:val="none"/>
        </w:rPr>
      </w:pPr>
      <w:bookmarkStart w:id="33" w:name="_Toc10216"/>
      <w:bookmarkStart w:id="34" w:name="_Toc154731057"/>
      <w:r>
        <w:rPr>
          <w:rFonts w:hint="eastAsia"/>
          <w:highlight w:val="none"/>
          <w:lang w:val="en-US" w:eastAsia="zh-CN"/>
        </w:rPr>
        <w:t>八</w:t>
      </w:r>
      <w:r>
        <w:rPr>
          <w:highlight w:val="none"/>
        </w:rPr>
        <w:t>、</w:t>
      </w:r>
      <w:r>
        <w:rPr>
          <w:rFonts w:hint="eastAsia"/>
          <w:highlight w:val="none"/>
          <w:lang w:eastAsia="zh-CN"/>
        </w:rPr>
        <w:t>比选</w:t>
      </w:r>
      <w:r>
        <w:rPr>
          <w:highlight w:val="none"/>
        </w:rPr>
        <w:t>业绩承诺函</w:t>
      </w:r>
      <w:bookmarkEnd w:id="33"/>
      <w:bookmarkEnd w:id="34"/>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我单位同意成交公告中公示以下业绩并承诺：响应文件中所提供的业绩均真实有效，若被发现存在任何虚假、隐瞒情况，我单位承担由此产生的一切后果。</w:t>
      </w:r>
    </w:p>
    <w:p>
      <w:pPr>
        <w:spacing w:line="360" w:lineRule="auto"/>
        <w:ind w:firstLine="480" w:firstLineChars="200"/>
        <w:rPr>
          <w:rFonts w:ascii="宋体" w:hAnsi="宋体" w:cs="宋体"/>
          <w:sz w:val="24"/>
          <w:szCs w:val="18"/>
          <w:highlight w:val="none"/>
          <w:lang w:bidi="ar"/>
        </w:rPr>
      </w:pPr>
    </w:p>
    <w:p>
      <w:pPr>
        <w:spacing w:line="360" w:lineRule="auto"/>
        <w:ind w:right="1596" w:rightChars="760"/>
        <w:jc w:val="right"/>
        <w:rPr>
          <w:rFonts w:ascii="宋体" w:hAnsi="宋体" w:cs="宋体"/>
          <w:sz w:val="24"/>
          <w:szCs w:val="18"/>
          <w:highlight w:val="none"/>
          <w:lang w:bidi="ar"/>
        </w:rPr>
      </w:pPr>
      <w:r>
        <w:rPr>
          <w:rFonts w:hint="eastAsia" w:ascii="宋体" w:hAnsi="宋体" w:cs="宋体"/>
          <w:sz w:val="24"/>
          <w:szCs w:val="18"/>
          <w:highlight w:val="none"/>
          <w:lang w:bidi="ar"/>
        </w:rPr>
        <w:t>供应商公章：</w:t>
      </w:r>
    </w:p>
    <w:p>
      <w:pPr>
        <w:tabs>
          <w:tab w:val="left" w:pos="7230"/>
        </w:tabs>
        <w:wordWrap w:val="0"/>
        <w:spacing w:line="360" w:lineRule="auto"/>
        <w:ind w:right="1172" w:rightChars="558"/>
        <w:jc w:val="right"/>
        <w:rPr>
          <w:rFonts w:ascii="宋体" w:hAnsi="宋体" w:cs="宋体"/>
          <w:sz w:val="24"/>
          <w:szCs w:val="18"/>
          <w:highlight w:val="none"/>
          <w:lang w:bidi="ar"/>
        </w:rPr>
      </w:pPr>
      <w:r>
        <w:rPr>
          <w:rFonts w:hint="eastAsia" w:ascii="宋体" w:hAnsi="宋体" w:cs="宋体"/>
          <w:sz w:val="24"/>
          <w:szCs w:val="18"/>
          <w:highlight w:val="none"/>
          <w:lang w:bidi="ar"/>
        </w:rPr>
        <w:t>日</w:t>
      </w:r>
      <w:r>
        <w:rPr>
          <w:rFonts w:ascii="宋体" w:hAnsi="宋体" w:cs="宋体"/>
          <w:sz w:val="24"/>
          <w:szCs w:val="18"/>
          <w:highlight w:val="none"/>
          <w:lang w:bidi="ar"/>
        </w:rPr>
        <w:t xml:space="preserve"> </w:t>
      </w:r>
      <w:r>
        <w:rPr>
          <w:rFonts w:hint="eastAsia" w:ascii="宋体" w:hAnsi="宋体" w:cs="宋体"/>
          <w:sz w:val="24"/>
          <w:szCs w:val="18"/>
          <w:highlight w:val="none"/>
          <w:lang w:bidi="ar"/>
        </w:rPr>
        <w:t xml:space="preserve">     期：    </w:t>
      </w:r>
    </w:p>
    <w:tbl>
      <w:tblPr>
        <w:tblStyle w:val="5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5237"/>
        <w:gridCol w:w="2015"/>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widowControl/>
              <w:jc w:val="center"/>
              <w:rPr>
                <w:rFonts w:ascii="宋体" w:hAnsi="宋体"/>
                <w:b/>
                <w:sz w:val="24"/>
                <w:highlight w:val="none"/>
              </w:rPr>
            </w:pPr>
            <w:r>
              <w:rPr>
                <w:rFonts w:hint="eastAsia" w:ascii="宋体" w:hAnsi="宋体"/>
                <w:b/>
                <w:sz w:val="24"/>
                <w:highlight w:val="none"/>
              </w:rPr>
              <w:t>序号</w:t>
            </w:r>
          </w:p>
        </w:tc>
        <w:tc>
          <w:tcPr>
            <w:tcW w:w="2659" w:type="pct"/>
            <w:vAlign w:val="center"/>
          </w:tcPr>
          <w:p>
            <w:pPr>
              <w:widowControl/>
              <w:jc w:val="center"/>
              <w:rPr>
                <w:rFonts w:ascii="宋体" w:hAnsi="宋体"/>
                <w:b/>
                <w:sz w:val="24"/>
                <w:highlight w:val="none"/>
              </w:rPr>
            </w:pPr>
            <w:r>
              <w:rPr>
                <w:rFonts w:hint="eastAsia" w:ascii="宋体" w:hAnsi="宋体"/>
                <w:b/>
                <w:sz w:val="24"/>
                <w:highlight w:val="none"/>
              </w:rPr>
              <w:t>项目名称</w:t>
            </w:r>
          </w:p>
        </w:tc>
        <w:tc>
          <w:tcPr>
            <w:tcW w:w="1023" w:type="pct"/>
            <w:vAlign w:val="center"/>
          </w:tcPr>
          <w:p>
            <w:pPr>
              <w:widowControl/>
              <w:jc w:val="center"/>
              <w:rPr>
                <w:rFonts w:ascii="宋体" w:hAnsi="宋体"/>
                <w:b/>
                <w:sz w:val="24"/>
                <w:highlight w:val="none"/>
              </w:rPr>
            </w:pPr>
            <w:r>
              <w:rPr>
                <w:rFonts w:hint="eastAsia" w:ascii="宋体" w:hAnsi="宋体"/>
                <w:b/>
                <w:sz w:val="24"/>
                <w:highlight w:val="none"/>
              </w:rPr>
              <w:t>服务范围</w:t>
            </w:r>
          </w:p>
        </w:tc>
        <w:tc>
          <w:tcPr>
            <w:tcW w:w="832" w:type="pct"/>
            <w:vAlign w:val="center"/>
          </w:tcPr>
          <w:p>
            <w:pPr>
              <w:widowControl/>
              <w:jc w:val="center"/>
              <w:rPr>
                <w:rFonts w:ascii="宋体" w:hAnsi="宋体"/>
                <w:b/>
                <w:sz w:val="24"/>
                <w:highlight w:val="none"/>
              </w:rPr>
            </w:pPr>
            <w:r>
              <w:rPr>
                <w:rFonts w:hint="eastAsia" w:ascii="宋体" w:hAnsi="宋体"/>
                <w:b/>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1</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2</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3</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4</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5</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86" w:type="pct"/>
            <w:vAlign w:val="center"/>
          </w:tcPr>
          <w:p>
            <w:pPr>
              <w:spacing w:line="360" w:lineRule="auto"/>
              <w:jc w:val="center"/>
              <w:rPr>
                <w:rFonts w:ascii="宋体" w:hAnsi="宋体"/>
                <w:sz w:val="24"/>
                <w:szCs w:val="24"/>
                <w:highlight w:val="none"/>
              </w:rPr>
            </w:pPr>
            <w:r>
              <w:rPr>
                <w:rFonts w:hint="eastAsia" w:ascii="宋体" w:hAnsi="宋体"/>
                <w:sz w:val="24"/>
                <w:szCs w:val="24"/>
                <w:highlight w:val="none"/>
              </w:rPr>
              <w:t>……</w:t>
            </w:r>
          </w:p>
        </w:tc>
        <w:tc>
          <w:tcPr>
            <w:tcW w:w="2659" w:type="pct"/>
            <w:vAlign w:val="center"/>
          </w:tcPr>
          <w:p>
            <w:pPr>
              <w:spacing w:line="360" w:lineRule="auto"/>
              <w:rPr>
                <w:rFonts w:ascii="宋体" w:hAnsi="宋体"/>
                <w:sz w:val="24"/>
                <w:szCs w:val="24"/>
                <w:highlight w:val="none"/>
              </w:rPr>
            </w:pPr>
          </w:p>
        </w:tc>
        <w:tc>
          <w:tcPr>
            <w:tcW w:w="1023" w:type="pct"/>
            <w:vAlign w:val="center"/>
          </w:tcPr>
          <w:p>
            <w:pPr>
              <w:spacing w:line="360" w:lineRule="auto"/>
              <w:rPr>
                <w:rFonts w:ascii="宋体" w:hAnsi="宋体"/>
                <w:sz w:val="24"/>
                <w:szCs w:val="24"/>
                <w:highlight w:val="none"/>
              </w:rPr>
            </w:pPr>
          </w:p>
        </w:tc>
        <w:tc>
          <w:tcPr>
            <w:tcW w:w="832" w:type="pct"/>
            <w:vAlign w:val="center"/>
          </w:tcPr>
          <w:p>
            <w:pPr>
              <w:spacing w:line="360" w:lineRule="auto"/>
              <w:rPr>
                <w:rFonts w:ascii="宋体" w:hAnsi="宋体"/>
                <w:sz w:val="24"/>
                <w:szCs w:val="24"/>
                <w:highlight w:val="none"/>
              </w:rPr>
            </w:pPr>
          </w:p>
        </w:tc>
      </w:tr>
    </w:tbl>
    <w:p>
      <w:pPr>
        <w:spacing w:line="360" w:lineRule="auto"/>
        <w:ind w:firstLine="480" w:firstLineChars="200"/>
        <w:rPr>
          <w:rFonts w:ascii="宋体" w:hAnsi="宋体" w:cs="宋体"/>
          <w:sz w:val="24"/>
          <w:szCs w:val="18"/>
          <w:highlight w:val="none"/>
          <w:lang w:bidi="ar"/>
        </w:rPr>
      </w:pPr>
    </w:p>
    <w:p>
      <w:pPr>
        <w:spacing w:line="360" w:lineRule="auto"/>
        <w:rPr>
          <w:rFonts w:ascii="宋体" w:hAnsi="宋体" w:cs="宋体"/>
          <w:b/>
          <w:sz w:val="24"/>
          <w:szCs w:val="18"/>
          <w:highlight w:val="none"/>
          <w:lang w:bidi="ar"/>
        </w:rPr>
      </w:pPr>
      <w:r>
        <w:rPr>
          <w:rFonts w:ascii="宋体" w:hAnsi="宋体" w:cs="宋体"/>
          <w:b/>
          <w:sz w:val="24"/>
          <w:szCs w:val="18"/>
          <w:highlight w:val="none"/>
          <w:lang w:bidi="ar"/>
        </w:rPr>
        <w:t>备注：</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1.表中所列业绩应为供应商满足</w:t>
      </w:r>
      <w:r>
        <w:rPr>
          <w:rFonts w:hint="eastAsia" w:ascii="宋体" w:hAnsi="宋体" w:cs="宋体"/>
          <w:sz w:val="24"/>
          <w:szCs w:val="18"/>
          <w:highlight w:val="none"/>
          <w:lang w:eastAsia="zh-CN" w:bidi="ar"/>
        </w:rPr>
        <w:t>比选</w:t>
      </w:r>
      <w:r>
        <w:rPr>
          <w:rFonts w:ascii="宋体" w:hAnsi="宋体" w:cs="宋体"/>
          <w:sz w:val="24"/>
          <w:szCs w:val="18"/>
          <w:highlight w:val="none"/>
          <w:lang w:bidi="ar"/>
        </w:rPr>
        <w:t>文件要求的业绩；</w:t>
      </w:r>
    </w:p>
    <w:p>
      <w:pPr>
        <w:spacing w:line="360" w:lineRule="auto"/>
        <w:ind w:firstLine="480" w:firstLineChars="200"/>
        <w:rPr>
          <w:rFonts w:ascii="宋体" w:hAnsi="宋体" w:cs="宋体"/>
          <w:sz w:val="24"/>
          <w:szCs w:val="18"/>
          <w:highlight w:val="none"/>
          <w:lang w:bidi="ar"/>
        </w:rPr>
      </w:pPr>
      <w:r>
        <w:rPr>
          <w:rFonts w:ascii="宋体" w:hAnsi="宋体" w:cs="宋体"/>
          <w:sz w:val="24"/>
          <w:szCs w:val="18"/>
          <w:highlight w:val="none"/>
          <w:lang w:bidi="ar"/>
        </w:rPr>
        <w:t>2.成交供应商提供的以上业绩情况，如</w:t>
      </w:r>
      <w:r>
        <w:rPr>
          <w:rFonts w:hint="eastAsia" w:ascii="宋体" w:hAnsi="宋体" w:cs="宋体"/>
          <w:sz w:val="24"/>
          <w:szCs w:val="18"/>
          <w:highlight w:val="none"/>
          <w:lang w:eastAsia="zh-CN" w:bidi="ar"/>
        </w:rPr>
        <w:t>比选</w:t>
      </w:r>
      <w:r>
        <w:rPr>
          <w:rFonts w:ascii="宋体" w:hAnsi="宋体" w:cs="宋体"/>
          <w:sz w:val="24"/>
          <w:szCs w:val="18"/>
          <w:highlight w:val="none"/>
          <w:lang w:bidi="ar"/>
        </w:rPr>
        <w:t>文件《供应商须知前附表》有约定的，将按约定随评审结果公告。</w:t>
      </w:r>
    </w:p>
    <w:p>
      <w:pPr>
        <w:pStyle w:val="5"/>
        <w:rPr>
          <w:rFonts w:ascii="VQKGBK+ËÎÌå"/>
          <w:highlight w:val="none"/>
        </w:rPr>
      </w:pPr>
      <w:r>
        <w:rPr>
          <w:highlight w:val="cyan"/>
          <w:lang w:bidi="ar"/>
        </w:rPr>
        <w:br w:type="page"/>
      </w:r>
      <w:bookmarkStart w:id="35" w:name="_Toc5977"/>
      <w:bookmarkStart w:id="36" w:name="_Toc154731058"/>
      <w:r>
        <w:rPr>
          <w:rFonts w:hint="eastAsia"/>
          <w:highlight w:val="none"/>
          <w:lang w:val="en-US" w:eastAsia="zh-CN" w:bidi="ar"/>
        </w:rPr>
        <w:t>九</w:t>
      </w:r>
      <w:r>
        <w:rPr>
          <w:rFonts w:hint="eastAsia"/>
          <w:highlight w:val="none"/>
        </w:rPr>
        <w:t>、其他相关证明材料</w:t>
      </w:r>
      <w:bookmarkEnd w:id="35"/>
      <w:bookmarkEnd w:id="36"/>
    </w:p>
    <w:p>
      <w:pPr>
        <w:spacing w:line="480" w:lineRule="auto"/>
        <w:ind w:firstLine="480" w:firstLineChars="200"/>
        <w:rPr>
          <w:rFonts w:ascii="宋体" w:hAnsi="宋体"/>
          <w:sz w:val="24"/>
          <w:highlight w:val="none"/>
        </w:rPr>
      </w:pPr>
      <w:r>
        <w:rPr>
          <w:rFonts w:hint="eastAsia" w:ascii="宋体" w:hAnsi="宋体"/>
          <w:sz w:val="24"/>
          <w:highlight w:val="none"/>
        </w:rPr>
        <w:t>提供符合</w:t>
      </w:r>
      <w:r>
        <w:rPr>
          <w:rFonts w:hint="eastAsia" w:ascii="宋体" w:hAnsi="宋体"/>
          <w:sz w:val="24"/>
          <w:highlight w:val="none"/>
          <w:lang w:eastAsia="zh-CN"/>
        </w:rPr>
        <w:t>比选</w:t>
      </w:r>
      <w:r>
        <w:rPr>
          <w:rFonts w:hint="eastAsia" w:ascii="宋体" w:hAnsi="宋体"/>
          <w:sz w:val="24"/>
          <w:highlight w:val="none"/>
        </w:rPr>
        <w:t>公告）、采购需求及评审方法和标准规定的相关证明文件。</w:t>
      </w:r>
    </w:p>
    <w:p>
      <w:pPr>
        <w:spacing w:line="480" w:lineRule="auto"/>
        <w:ind w:firstLine="480" w:firstLineChars="200"/>
        <w:rPr>
          <w:rFonts w:ascii="宋体" w:hAnsi="宋体"/>
          <w:sz w:val="24"/>
          <w:highlight w:val="none"/>
        </w:rPr>
      </w:pPr>
    </w:p>
    <w:p>
      <w:pPr>
        <w:spacing w:line="480" w:lineRule="auto"/>
        <w:ind w:firstLine="480" w:firstLineChars="200"/>
        <w:rPr>
          <w:rFonts w:ascii="宋体" w:hAnsi="宋体"/>
          <w:sz w:val="24"/>
          <w:highlight w:val="none"/>
        </w:rPr>
      </w:pPr>
    </w:p>
    <w:p>
      <w:pPr>
        <w:spacing w:line="480" w:lineRule="auto"/>
        <w:ind w:firstLine="480" w:firstLineChars="200"/>
        <w:rPr>
          <w:rFonts w:ascii="宋体" w:hAnsi="宋体"/>
          <w:sz w:val="24"/>
          <w:highlight w:val="none"/>
        </w:rPr>
      </w:pPr>
    </w:p>
    <w:p>
      <w:pPr>
        <w:spacing w:line="480" w:lineRule="auto"/>
        <w:ind w:firstLine="480" w:firstLineChars="200"/>
        <w:rPr>
          <w:rFonts w:ascii="宋体" w:hAnsi="宋体"/>
          <w:sz w:val="24"/>
          <w:highlight w:val="none"/>
        </w:rPr>
      </w:pPr>
      <w:r>
        <w:rPr>
          <w:rFonts w:hint="eastAsia" w:ascii="宋体" w:hAnsi="宋体"/>
          <w:sz w:val="24"/>
          <w:highlight w:val="none"/>
        </w:rPr>
        <w:t>特别提示：</w:t>
      </w:r>
    </w:p>
    <w:p>
      <w:pPr>
        <w:spacing w:line="480" w:lineRule="auto"/>
        <w:ind w:firstLine="480" w:firstLineChars="200"/>
        <w:rPr>
          <w:rFonts w:ascii="宋体" w:hAnsi="宋体"/>
          <w:sz w:val="24"/>
          <w:highlight w:val="none"/>
        </w:rPr>
      </w:pPr>
      <w:r>
        <w:rPr>
          <w:rFonts w:hint="eastAsia" w:ascii="宋体" w:hAnsi="宋体"/>
          <w:sz w:val="24"/>
          <w:highlight w:val="none"/>
        </w:rPr>
        <w:t>供应商在响应文件制作时可在此栏内提供</w:t>
      </w:r>
      <w:r>
        <w:rPr>
          <w:rFonts w:hint="eastAsia" w:ascii="宋体" w:hAnsi="宋体"/>
          <w:sz w:val="24"/>
          <w:highlight w:val="none"/>
          <w:lang w:eastAsia="zh-CN"/>
        </w:rPr>
        <w:t>比选</w:t>
      </w:r>
      <w:r>
        <w:rPr>
          <w:rFonts w:hint="eastAsia" w:ascii="宋体" w:hAnsi="宋体"/>
          <w:sz w:val="24"/>
          <w:highlight w:val="none"/>
        </w:rPr>
        <w:t>文件要求的证明资料，如营业执照、税务登记证、人员证书、资质证书、荣誉奖项等，应提供上述证明材料盖章复印件。</w:t>
      </w:r>
    </w:p>
    <w:p>
      <w:pPr>
        <w:pStyle w:val="4"/>
        <w:rPr>
          <w:highlight w:val="none"/>
        </w:rPr>
      </w:pPr>
      <w:r>
        <w:rPr>
          <w:highlight w:val="cyan"/>
        </w:rPr>
        <w:br w:type="page"/>
      </w:r>
      <w:bookmarkStart w:id="37" w:name="_Toc154731059"/>
      <w:bookmarkStart w:id="38" w:name="_Toc26870"/>
      <w:r>
        <w:rPr>
          <w:rFonts w:hint="eastAsia"/>
          <w:highlight w:val="none"/>
        </w:rPr>
        <w:t>第七章 供应商质疑函范本</w:t>
      </w:r>
      <w:bookmarkEnd w:id="37"/>
      <w:bookmarkEnd w:id="38"/>
    </w:p>
    <w:p>
      <w:pPr>
        <w:pStyle w:val="4"/>
        <w:rPr>
          <w:highlight w:val="none"/>
        </w:rPr>
      </w:pPr>
      <w:bookmarkStart w:id="39" w:name="_Toc18883"/>
      <w:bookmarkStart w:id="40" w:name="_Toc46018280"/>
      <w:bookmarkStart w:id="41" w:name="_Toc46018306"/>
      <w:bookmarkStart w:id="42" w:name="_Toc154731060"/>
      <w:r>
        <w:rPr>
          <w:rFonts w:hint="eastAsia"/>
          <w:highlight w:val="none"/>
        </w:rPr>
        <w:t>质疑函范本</w:t>
      </w:r>
      <w:bookmarkEnd w:id="39"/>
      <w:bookmarkEnd w:id="40"/>
      <w:bookmarkEnd w:id="41"/>
      <w:bookmarkEnd w:id="42"/>
    </w:p>
    <w:p>
      <w:pPr>
        <w:spacing w:line="360" w:lineRule="auto"/>
        <w:ind w:firstLine="482" w:firstLineChars="200"/>
        <w:rPr>
          <w:rFonts w:ascii="宋体" w:hAnsi="宋体"/>
          <w:b/>
          <w:sz w:val="24"/>
          <w:highlight w:val="none"/>
        </w:rPr>
      </w:pPr>
      <w:r>
        <w:rPr>
          <w:rFonts w:hint="eastAsia" w:ascii="宋体" w:hAnsi="宋体"/>
          <w:b/>
          <w:sz w:val="24"/>
          <w:highlight w:val="none"/>
        </w:rPr>
        <w:t>一、质疑供应商基本信息</w:t>
      </w:r>
    </w:p>
    <w:p>
      <w:pPr>
        <w:spacing w:line="360" w:lineRule="auto"/>
        <w:ind w:firstLine="480" w:firstLineChars="200"/>
        <w:rPr>
          <w:rFonts w:ascii="宋体" w:hAnsi="宋体"/>
          <w:sz w:val="24"/>
          <w:highlight w:val="none"/>
        </w:rPr>
      </w:pPr>
      <w:r>
        <w:rPr>
          <w:rFonts w:hint="eastAsia" w:ascii="宋体" w:hAnsi="宋体"/>
          <w:sz w:val="24"/>
          <w:highlight w:val="none"/>
        </w:rPr>
        <w:t>质疑供应商：</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地址：</w:t>
      </w:r>
      <w:r>
        <w:rPr>
          <w:rFonts w:hint="eastAsia" w:ascii="宋体" w:hAnsi="宋体"/>
          <w:sz w:val="24"/>
          <w:highlight w:val="none"/>
          <w:u w:val="single"/>
        </w:rPr>
        <w:t xml:space="preserve">                           </w:t>
      </w:r>
      <w:r>
        <w:rPr>
          <w:rFonts w:hint="eastAsia" w:ascii="宋体" w:hAnsi="宋体"/>
          <w:sz w:val="24"/>
          <w:highlight w:val="none"/>
        </w:rPr>
        <w:t>邮编：</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联系人：</w:t>
      </w:r>
      <w:r>
        <w:rPr>
          <w:rFonts w:hint="eastAsia" w:ascii="宋体" w:hAnsi="宋体"/>
          <w:sz w:val="24"/>
          <w:highlight w:val="none"/>
          <w:u w:val="single"/>
        </w:rPr>
        <w:t xml:space="preserve">                       </w:t>
      </w:r>
      <w:r>
        <w:rPr>
          <w:rFonts w:hint="eastAsia" w:ascii="宋体" w:hAnsi="宋体"/>
          <w:sz w:val="24"/>
          <w:highlight w:val="none"/>
        </w:rPr>
        <w:t>联系电话：</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授权代表：</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联系电话：</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地址：</w:t>
      </w:r>
      <w:r>
        <w:rPr>
          <w:rFonts w:hint="eastAsia" w:ascii="宋体" w:hAnsi="宋体"/>
          <w:sz w:val="24"/>
          <w:highlight w:val="none"/>
          <w:u w:val="single"/>
        </w:rPr>
        <w:t xml:space="preserve">                           </w:t>
      </w:r>
      <w:r>
        <w:rPr>
          <w:rFonts w:hint="eastAsia" w:ascii="宋体" w:hAnsi="宋体"/>
          <w:sz w:val="24"/>
          <w:highlight w:val="none"/>
        </w:rPr>
        <w:t>邮编：</w:t>
      </w:r>
      <w:r>
        <w:rPr>
          <w:rFonts w:hint="eastAsia" w:ascii="宋体" w:hAnsi="宋体"/>
          <w:sz w:val="24"/>
          <w:highlight w:val="none"/>
          <w:u w:val="single"/>
        </w:rPr>
        <w:t xml:space="preserve">                  </w:t>
      </w:r>
    </w:p>
    <w:p>
      <w:pPr>
        <w:spacing w:line="360" w:lineRule="auto"/>
        <w:ind w:firstLine="482" w:firstLineChars="200"/>
        <w:rPr>
          <w:rFonts w:ascii="宋体" w:hAnsi="宋体"/>
          <w:b/>
          <w:sz w:val="24"/>
          <w:highlight w:val="none"/>
        </w:rPr>
      </w:pPr>
      <w:r>
        <w:rPr>
          <w:rFonts w:hint="eastAsia" w:ascii="宋体" w:hAnsi="宋体"/>
          <w:b/>
          <w:sz w:val="24"/>
          <w:highlight w:val="none"/>
        </w:rPr>
        <w:t>二、质疑项目基本情况</w:t>
      </w:r>
    </w:p>
    <w:p>
      <w:pPr>
        <w:spacing w:line="360" w:lineRule="auto"/>
        <w:ind w:firstLine="480" w:firstLineChars="200"/>
        <w:rPr>
          <w:rFonts w:ascii="宋体" w:hAnsi="宋体"/>
          <w:sz w:val="24"/>
          <w:highlight w:val="none"/>
        </w:rPr>
      </w:pPr>
      <w:r>
        <w:rPr>
          <w:rFonts w:hint="eastAsia" w:ascii="宋体" w:hAnsi="宋体"/>
          <w:sz w:val="24"/>
          <w:highlight w:val="none"/>
        </w:rPr>
        <w:t>质疑项目的名称：</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质疑项目的编号：</w:t>
      </w:r>
      <w:r>
        <w:rPr>
          <w:rFonts w:hint="eastAsia" w:ascii="宋体" w:hAnsi="宋体"/>
          <w:sz w:val="24"/>
          <w:highlight w:val="none"/>
          <w:u w:val="single"/>
        </w:rPr>
        <w:t xml:space="preserve">                    </w:t>
      </w:r>
      <w:r>
        <w:rPr>
          <w:rFonts w:hint="eastAsia" w:ascii="宋体" w:hAnsi="宋体"/>
          <w:sz w:val="24"/>
          <w:highlight w:val="none"/>
        </w:rPr>
        <w:t>包号：</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采购人名称：</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采购文件获取日期：</w:t>
      </w:r>
      <w:r>
        <w:rPr>
          <w:rFonts w:hint="eastAsia" w:ascii="宋体" w:hAnsi="宋体"/>
          <w:sz w:val="24"/>
          <w:highlight w:val="none"/>
          <w:u w:val="single"/>
        </w:rPr>
        <w:t xml:space="preserve">                                       </w:t>
      </w:r>
    </w:p>
    <w:p>
      <w:pPr>
        <w:spacing w:line="360" w:lineRule="auto"/>
        <w:ind w:firstLine="482" w:firstLineChars="200"/>
        <w:rPr>
          <w:rFonts w:ascii="宋体" w:hAnsi="宋体"/>
          <w:b/>
          <w:sz w:val="24"/>
          <w:highlight w:val="none"/>
        </w:rPr>
      </w:pPr>
      <w:r>
        <w:rPr>
          <w:rFonts w:hint="eastAsia" w:ascii="宋体" w:hAnsi="宋体"/>
          <w:b/>
          <w:sz w:val="24"/>
          <w:highlight w:val="none"/>
        </w:rPr>
        <w:t>三、质疑事项具体内容</w:t>
      </w:r>
    </w:p>
    <w:p>
      <w:pPr>
        <w:spacing w:line="360" w:lineRule="auto"/>
        <w:ind w:firstLine="480" w:firstLineChars="200"/>
        <w:rPr>
          <w:rFonts w:ascii="宋体" w:hAnsi="宋体"/>
          <w:sz w:val="24"/>
          <w:highlight w:val="none"/>
        </w:rPr>
      </w:pPr>
      <w:r>
        <w:rPr>
          <w:rFonts w:hint="eastAsia" w:ascii="宋体" w:hAnsi="宋体"/>
          <w:sz w:val="24"/>
          <w:highlight w:val="none"/>
        </w:rPr>
        <w:t>质疑事项</w:t>
      </w:r>
      <w:r>
        <w:rPr>
          <w:rFonts w:ascii="宋体" w:hAnsi="宋体"/>
          <w:sz w:val="24"/>
          <w:highlight w:val="none"/>
        </w:rPr>
        <w:t xml:space="preserve"> 1</w:t>
      </w:r>
      <w:r>
        <w:rPr>
          <w:rFonts w:hint="eastAsia" w:ascii="宋体" w:hAnsi="宋体"/>
          <w:sz w:val="24"/>
          <w:highlight w:val="none"/>
        </w:rPr>
        <w:t>：</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事实依据：</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法律依据：</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质疑事项</w:t>
      </w:r>
      <w:r>
        <w:rPr>
          <w:rFonts w:ascii="宋体" w:hAnsi="宋体"/>
          <w:sz w:val="24"/>
          <w:highlight w:val="none"/>
        </w:rPr>
        <w:t xml:space="preserve"> 2：</w:t>
      </w:r>
      <w:r>
        <w:rPr>
          <w:rFonts w:hint="eastAsia" w:ascii="宋体" w:hAnsi="宋体"/>
          <w:sz w:val="24"/>
          <w:highlight w:val="none"/>
          <w:u w:val="single"/>
        </w:rPr>
        <w:t xml:space="preserve">                                             </w:t>
      </w:r>
    </w:p>
    <w:p>
      <w:pPr>
        <w:spacing w:line="360" w:lineRule="auto"/>
        <w:ind w:firstLine="480" w:firstLineChars="200"/>
        <w:rPr>
          <w:rFonts w:ascii="宋体" w:hAnsi="宋体"/>
          <w:sz w:val="24"/>
          <w:szCs w:val="24"/>
          <w:highlight w:val="none"/>
        </w:rPr>
      </w:pPr>
      <w:r>
        <w:rPr>
          <w:rFonts w:hint="eastAsia" w:ascii="宋体" w:hAnsi="宋体"/>
          <w:sz w:val="24"/>
          <w:szCs w:val="24"/>
          <w:highlight w:val="none"/>
        </w:rPr>
        <w:t>…… ……</w:t>
      </w:r>
    </w:p>
    <w:p>
      <w:pPr>
        <w:spacing w:line="360" w:lineRule="auto"/>
        <w:ind w:firstLine="482" w:firstLineChars="200"/>
        <w:rPr>
          <w:rFonts w:ascii="宋体" w:hAnsi="宋体"/>
          <w:b/>
          <w:sz w:val="24"/>
          <w:highlight w:val="none"/>
        </w:rPr>
      </w:pPr>
      <w:r>
        <w:rPr>
          <w:rFonts w:hint="eastAsia" w:ascii="宋体" w:hAnsi="宋体"/>
          <w:b/>
          <w:sz w:val="24"/>
          <w:highlight w:val="none"/>
        </w:rPr>
        <w:t>四、与质疑事项相关的质疑请求</w:t>
      </w:r>
    </w:p>
    <w:p>
      <w:pPr>
        <w:spacing w:line="360" w:lineRule="auto"/>
        <w:ind w:firstLine="480" w:firstLineChars="200"/>
        <w:rPr>
          <w:rFonts w:ascii="宋体" w:hAnsi="宋体"/>
          <w:sz w:val="24"/>
          <w:highlight w:val="none"/>
        </w:rPr>
      </w:pPr>
      <w:r>
        <w:rPr>
          <w:rFonts w:hint="eastAsia" w:ascii="宋体" w:hAnsi="宋体"/>
          <w:sz w:val="24"/>
          <w:highlight w:val="none"/>
        </w:rPr>
        <w:t>请求：</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rPr>
      </w:pPr>
      <w:r>
        <w:rPr>
          <w:rFonts w:hint="eastAsia" w:ascii="宋体" w:hAnsi="宋体"/>
          <w:sz w:val="24"/>
          <w:highlight w:val="none"/>
        </w:rPr>
        <w:t>签字</w:t>
      </w:r>
      <w:r>
        <w:rPr>
          <w:rFonts w:ascii="宋体" w:hAnsi="宋体"/>
          <w:sz w:val="24"/>
          <w:highlight w:val="none"/>
        </w:rPr>
        <w:t>(</w:t>
      </w:r>
      <w:r>
        <w:rPr>
          <w:rFonts w:hint="eastAsia" w:ascii="宋体" w:hAnsi="宋体"/>
          <w:sz w:val="24"/>
          <w:highlight w:val="none"/>
        </w:rPr>
        <w:t>签章</w:t>
      </w:r>
      <w:r>
        <w:rPr>
          <w:rFonts w:ascii="宋体" w:hAnsi="宋体"/>
          <w:sz w:val="24"/>
          <w:highlight w:val="none"/>
        </w:rPr>
        <w:t>)</w:t>
      </w:r>
      <w:r>
        <w:rPr>
          <w:rFonts w:hint="eastAsia" w:ascii="宋体" w:hAnsi="宋体"/>
          <w:sz w:val="24"/>
          <w:highlight w:val="none"/>
        </w:rPr>
        <w:t>：</w:t>
      </w:r>
      <w:r>
        <w:rPr>
          <w:rFonts w:ascii="宋体" w:hAnsi="宋体"/>
          <w:sz w:val="24"/>
          <w:highlight w:val="none"/>
        </w:rPr>
        <w:t xml:space="preserve"> </w:t>
      </w:r>
      <w:r>
        <w:rPr>
          <w:rFonts w:hint="eastAsia" w:ascii="宋体" w:hAnsi="宋体"/>
          <w:sz w:val="24"/>
          <w:highlight w:val="none"/>
          <w:u w:val="single"/>
        </w:rPr>
        <w:t xml:space="preserve">                   </w:t>
      </w:r>
      <w:r>
        <w:rPr>
          <w:rFonts w:hint="eastAsia" w:ascii="宋体" w:hAnsi="宋体"/>
          <w:sz w:val="24"/>
          <w:highlight w:val="none"/>
        </w:rPr>
        <w:t>公章：</w:t>
      </w:r>
      <w:r>
        <w:rPr>
          <w:rFonts w:hint="eastAsia" w:ascii="宋体" w:hAnsi="宋体"/>
          <w:sz w:val="24"/>
          <w:highlight w:val="none"/>
          <w:u w:val="single"/>
        </w:rPr>
        <w:t xml:space="preserve">                  </w:t>
      </w:r>
    </w:p>
    <w:p>
      <w:pPr>
        <w:spacing w:line="360" w:lineRule="auto"/>
        <w:ind w:firstLine="480" w:firstLineChars="200"/>
        <w:rPr>
          <w:rFonts w:ascii="宋体" w:hAnsi="宋体"/>
          <w:sz w:val="24"/>
          <w:highlight w:val="none"/>
          <w:u w:val="single"/>
        </w:rPr>
      </w:pPr>
      <w:r>
        <w:rPr>
          <w:rFonts w:hint="eastAsia" w:ascii="宋体" w:hAnsi="宋体"/>
          <w:sz w:val="24"/>
          <w:highlight w:val="none"/>
        </w:rPr>
        <w:t>日期：</w:t>
      </w:r>
      <w:r>
        <w:rPr>
          <w:rFonts w:hint="eastAsia" w:ascii="宋体" w:hAnsi="宋体"/>
          <w:sz w:val="24"/>
          <w:highlight w:val="none"/>
          <w:u w:val="single"/>
        </w:rPr>
        <w:t xml:space="preserve">                   </w:t>
      </w:r>
    </w:p>
    <w:p>
      <w:pPr>
        <w:spacing w:line="480" w:lineRule="auto"/>
        <w:ind w:firstLine="480" w:firstLineChars="200"/>
        <w:rPr>
          <w:rFonts w:ascii="宋体" w:hAnsi="宋体"/>
          <w:sz w:val="24"/>
          <w:highlight w:val="none"/>
          <w:u w:val="single"/>
        </w:rPr>
      </w:pPr>
    </w:p>
    <w:p>
      <w:pPr>
        <w:spacing w:line="480" w:lineRule="auto"/>
        <w:ind w:firstLine="480" w:firstLineChars="200"/>
        <w:rPr>
          <w:rFonts w:ascii="宋体" w:hAnsi="宋体"/>
          <w:sz w:val="24"/>
          <w:highlight w:val="none"/>
        </w:rPr>
      </w:pPr>
    </w:p>
    <w:p>
      <w:pPr>
        <w:rPr>
          <w:rFonts w:ascii="宋体" w:hAnsi="宋体"/>
          <w:sz w:val="24"/>
          <w:highlight w:val="none"/>
        </w:rPr>
      </w:pPr>
      <w:r>
        <w:rPr>
          <w:rFonts w:ascii="宋体" w:hAnsi="宋体"/>
          <w:sz w:val="24"/>
          <w:highlight w:val="none"/>
        </w:rPr>
        <w:br w:type="page"/>
      </w:r>
    </w:p>
    <w:p>
      <w:pPr>
        <w:pStyle w:val="2"/>
        <w:rPr>
          <w:highlight w:val="none"/>
        </w:rPr>
      </w:pPr>
    </w:p>
    <w:p>
      <w:pPr>
        <w:spacing w:line="480" w:lineRule="auto"/>
        <w:rPr>
          <w:rFonts w:ascii="宋体" w:hAnsi="宋体"/>
          <w:b/>
          <w:sz w:val="24"/>
          <w:highlight w:val="none"/>
        </w:rPr>
      </w:pPr>
      <w:r>
        <w:rPr>
          <w:rFonts w:hint="eastAsia" w:ascii="宋体" w:hAnsi="宋体"/>
          <w:b/>
          <w:sz w:val="24"/>
          <w:highlight w:val="none"/>
        </w:rPr>
        <w:t>质疑函制作说明：</w:t>
      </w:r>
    </w:p>
    <w:p>
      <w:pPr>
        <w:spacing w:line="480" w:lineRule="auto"/>
        <w:ind w:firstLine="480" w:firstLineChars="200"/>
        <w:rPr>
          <w:rFonts w:ascii="宋体" w:hAnsi="宋体"/>
          <w:sz w:val="24"/>
          <w:highlight w:val="none"/>
        </w:rPr>
      </w:pPr>
      <w:r>
        <w:rPr>
          <w:rFonts w:ascii="宋体" w:hAnsi="宋体"/>
          <w:sz w:val="24"/>
          <w:highlight w:val="none"/>
        </w:rPr>
        <w:t>1.</w:t>
      </w:r>
      <w:r>
        <w:rPr>
          <w:rFonts w:hint="eastAsia" w:ascii="宋体" w:hAnsi="宋体"/>
          <w:sz w:val="24"/>
          <w:highlight w:val="none"/>
        </w:rPr>
        <w:t>供应商提出质疑时，应提交质疑函和必要的证明材料。</w:t>
      </w:r>
    </w:p>
    <w:p>
      <w:pPr>
        <w:spacing w:line="480" w:lineRule="auto"/>
        <w:ind w:firstLine="480" w:firstLineChars="200"/>
        <w:rPr>
          <w:rFonts w:ascii="宋体" w:hAnsi="宋体"/>
          <w:sz w:val="24"/>
          <w:highlight w:val="none"/>
        </w:rPr>
      </w:pPr>
      <w:r>
        <w:rPr>
          <w:rFonts w:ascii="宋体" w:hAnsi="宋体"/>
          <w:sz w:val="24"/>
          <w:highlight w:val="none"/>
        </w:rPr>
        <w:t>2.</w:t>
      </w:r>
      <w:r>
        <w:rPr>
          <w:rFonts w:hint="eastAsia" w:ascii="宋体" w:hAnsi="宋体"/>
          <w:sz w:val="24"/>
          <w:highlight w:val="none"/>
        </w:rPr>
        <w:t>质疑供应商若委托代理人进行质疑的，质疑函应按要求列明</w:t>
      </w:r>
      <w:r>
        <w:rPr>
          <w:rFonts w:ascii="宋体" w:hAnsi="宋体"/>
          <w:sz w:val="24"/>
          <w:highlight w:val="none"/>
        </w:rPr>
        <w:t>“</w:t>
      </w:r>
      <w:r>
        <w:rPr>
          <w:rFonts w:hint="eastAsia" w:ascii="宋体" w:hAnsi="宋体"/>
          <w:sz w:val="24"/>
          <w:highlight w:val="none"/>
        </w:rPr>
        <w:t>授权代表</w:t>
      </w:r>
      <w:r>
        <w:rPr>
          <w:rFonts w:ascii="宋体" w:hAnsi="宋体"/>
          <w:sz w:val="24"/>
          <w:highlight w:val="none"/>
        </w:rPr>
        <w:t>”</w:t>
      </w:r>
      <w:r>
        <w:rPr>
          <w:rFonts w:hint="eastAsia" w:ascii="宋体" w:hAnsi="宋体"/>
          <w:sz w:val="24"/>
          <w:highlight w:val="none"/>
        </w:rPr>
        <w:t>的有关内容，并在附件中提交由质疑供应商签署的授权委托书。授权委托书应载明代理人的姓名或者名称、代理事项、具体权限、期限和相关事项。</w:t>
      </w:r>
    </w:p>
    <w:p>
      <w:pPr>
        <w:spacing w:line="480" w:lineRule="auto"/>
        <w:ind w:firstLine="480" w:firstLineChars="200"/>
        <w:rPr>
          <w:rFonts w:ascii="宋体" w:hAnsi="宋体"/>
          <w:sz w:val="24"/>
          <w:highlight w:val="none"/>
        </w:rPr>
      </w:pPr>
      <w:r>
        <w:rPr>
          <w:rFonts w:ascii="宋体" w:hAnsi="宋体"/>
          <w:sz w:val="24"/>
          <w:highlight w:val="none"/>
        </w:rPr>
        <w:t>3.</w:t>
      </w:r>
      <w:r>
        <w:rPr>
          <w:rFonts w:hint="eastAsia" w:ascii="宋体" w:hAnsi="宋体"/>
          <w:sz w:val="24"/>
          <w:highlight w:val="none"/>
        </w:rPr>
        <w:t>质疑供应商若对项目的某一分包进行质疑，质疑函中应列明具体分包号。</w:t>
      </w:r>
    </w:p>
    <w:p>
      <w:pPr>
        <w:spacing w:line="480" w:lineRule="auto"/>
        <w:ind w:firstLine="480" w:firstLineChars="200"/>
        <w:rPr>
          <w:rFonts w:ascii="宋体" w:hAnsi="宋体"/>
          <w:sz w:val="24"/>
          <w:highlight w:val="none"/>
        </w:rPr>
      </w:pPr>
      <w:r>
        <w:rPr>
          <w:rFonts w:ascii="宋体" w:hAnsi="宋体"/>
          <w:sz w:val="24"/>
          <w:highlight w:val="none"/>
        </w:rPr>
        <w:t>4.</w:t>
      </w:r>
      <w:r>
        <w:rPr>
          <w:rFonts w:hint="eastAsia" w:ascii="宋体" w:hAnsi="宋体"/>
          <w:sz w:val="24"/>
          <w:highlight w:val="none"/>
        </w:rPr>
        <w:t>质疑函的质疑事项应具体、明确，并有必要的事实依据和法律依据。</w:t>
      </w:r>
    </w:p>
    <w:p>
      <w:pPr>
        <w:spacing w:line="480" w:lineRule="auto"/>
        <w:ind w:firstLine="480" w:firstLineChars="200"/>
        <w:rPr>
          <w:rFonts w:ascii="宋体" w:hAnsi="宋体"/>
          <w:sz w:val="24"/>
          <w:highlight w:val="none"/>
        </w:rPr>
      </w:pPr>
      <w:r>
        <w:rPr>
          <w:rFonts w:ascii="宋体" w:hAnsi="宋体"/>
          <w:sz w:val="24"/>
          <w:highlight w:val="none"/>
        </w:rPr>
        <w:t>5.</w:t>
      </w:r>
      <w:r>
        <w:rPr>
          <w:rFonts w:hint="eastAsia" w:ascii="宋体" w:hAnsi="宋体"/>
          <w:sz w:val="24"/>
          <w:highlight w:val="none"/>
        </w:rPr>
        <w:t>质疑函的质疑请求应与质疑事项相关。</w:t>
      </w:r>
    </w:p>
    <w:p>
      <w:pPr>
        <w:spacing w:line="480" w:lineRule="auto"/>
        <w:ind w:firstLine="480" w:firstLineChars="200"/>
        <w:rPr>
          <w:rFonts w:ascii="宋体" w:hAnsi="宋体"/>
          <w:sz w:val="24"/>
          <w:highlight w:val="none"/>
        </w:rPr>
      </w:pPr>
      <w:r>
        <w:rPr>
          <w:rFonts w:ascii="宋体" w:hAnsi="宋体"/>
          <w:sz w:val="24"/>
          <w:highlight w:val="none"/>
        </w:rPr>
        <w:t>6.</w:t>
      </w:r>
      <w:r>
        <w:rPr>
          <w:rFonts w:hint="eastAsia" w:ascii="宋体" w:hAnsi="宋体"/>
          <w:sz w:val="24"/>
          <w:highlight w:val="none"/>
        </w:rPr>
        <w:t>质疑供应商为自然人的，质疑函应由本人签字；质疑供应商为法人或者其他组织的，质疑函应由法定代表人、主要负责人，或者其授权代表签字或者盖章，并加盖公章。</w:t>
      </w:r>
    </w:p>
    <w:p>
      <w:pPr>
        <w:spacing w:line="480" w:lineRule="auto"/>
        <w:ind w:firstLine="480" w:firstLineChars="200"/>
        <w:rPr>
          <w:rFonts w:ascii="宋体" w:hAnsi="宋体"/>
          <w:sz w:val="24"/>
          <w:highlight w:val="none"/>
        </w:rPr>
      </w:pPr>
    </w:p>
    <w:p>
      <w:pPr>
        <w:spacing w:line="360" w:lineRule="auto"/>
        <w:ind w:firstLine="480" w:firstLineChars="200"/>
        <w:rPr>
          <w:rFonts w:ascii="宋体" w:hAnsi="宋体" w:cs="宋体"/>
          <w:sz w:val="24"/>
          <w:szCs w:val="18"/>
          <w:highlight w:val="cyan"/>
          <w:lang w:bidi="ar"/>
        </w:rPr>
      </w:pPr>
    </w:p>
    <w:sectPr>
      <w:footerReference r:id="rId5" w:type="default"/>
      <w:pgSz w:w="11900" w:h="16840"/>
      <w:pgMar w:top="1134" w:right="1134" w:bottom="1134" w:left="1134"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微软雅黑">
    <w:panose1 w:val="020B0503020204020204"/>
    <w:charset w:val="86"/>
    <w:family w:val="swiss"/>
    <w:pitch w:val="default"/>
    <w:sig w:usb0="80000287" w:usb1="2ACF3C50" w:usb2="00000016" w:usb3="00000000" w:csb0="0004001F" w:csb1="00000000"/>
  </w:font>
  <w:font w:name="MTJPQQ+ËÎÌå">
    <w:altName w:val="Segoe Print"/>
    <w:panose1 w:val="00000000000000000000"/>
    <w:charset w:val="01"/>
    <w:family w:val="auto"/>
    <w:pitch w:val="default"/>
    <w:sig w:usb0="00000000" w:usb1="00000000" w:usb2="01010101" w:usb3="01010101" w:csb0="01010101" w:csb1="01010101"/>
  </w:font>
  <w:font w:name="VQKGBK+ËÎÌå">
    <w:altName w:val="Segoe Print"/>
    <w:panose1 w:val="00000000000000000000"/>
    <w:charset w:val="01"/>
    <w:family w:val="auto"/>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8"/>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rPr>
        <w:rFonts w:ascii="宋体" w:hAnsi="宋体"/>
        <w:sz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8"/>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8"/>
                      <w:jc w:val="center"/>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bottom w:val="none" w:color="auto" w:sz="0" w:space="1"/>
      </w:pBdr>
      <w:jc w:val="left"/>
      <w:rPr>
        <w:rFonts w:hint="default"/>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7DD9A9"/>
    <w:multiLevelType w:val="singleLevel"/>
    <w:tmpl w:val="8B7DD9A9"/>
    <w:lvl w:ilvl="0" w:tentative="0">
      <w:start w:val="1"/>
      <w:numFmt w:val="decimal"/>
      <w:suff w:val="nothing"/>
      <w:lvlText w:val="%1、"/>
      <w:lvlJc w:val="left"/>
    </w:lvl>
  </w:abstractNum>
  <w:abstractNum w:abstractNumId="1">
    <w:nsid w:val="089475BD"/>
    <w:multiLevelType w:val="singleLevel"/>
    <w:tmpl w:val="089475BD"/>
    <w:lvl w:ilvl="0" w:tentative="0">
      <w:start w:val="1"/>
      <w:numFmt w:val="decimal"/>
      <w:suff w:val="nothing"/>
      <w:lvlText w:val="%1、"/>
      <w:lvlJc w:val="left"/>
    </w:lvl>
  </w:abstractNum>
  <w:abstractNum w:abstractNumId="2">
    <w:nsid w:val="1DD96813"/>
    <w:multiLevelType w:val="singleLevel"/>
    <w:tmpl w:val="1DD96813"/>
    <w:lvl w:ilvl="0" w:tentative="0">
      <w:start w:val="1"/>
      <w:numFmt w:val="decimal"/>
      <w:lvlText w:val="%1."/>
      <w:lvlJc w:val="left"/>
      <w:pPr>
        <w:tabs>
          <w:tab w:val="left" w:pos="312"/>
        </w:tabs>
      </w:pPr>
    </w:lvl>
  </w:abstractNum>
  <w:abstractNum w:abstractNumId="3">
    <w:nsid w:val="22569C56"/>
    <w:multiLevelType w:val="singleLevel"/>
    <w:tmpl w:val="22569C56"/>
    <w:lvl w:ilvl="0" w:tentative="0">
      <w:start w:val="1"/>
      <w:numFmt w:val="decimal"/>
      <w:lvlText w:val="%1"/>
      <w:lvlJc w:val="left"/>
      <w:pPr>
        <w:tabs>
          <w:tab w:val="left" w:pos="420"/>
        </w:tabs>
        <w:ind w:left="425" w:leftChars="0" w:hanging="425" w:firstLineChars="0"/>
      </w:pPr>
      <w:rPr>
        <w:rFonts w:hint="default"/>
      </w:rPr>
    </w:lvl>
  </w:abstractNum>
  <w:abstractNum w:abstractNumId="4">
    <w:nsid w:val="493F70CF"/>
    <w:multiLevelType w:val="singleLevel"/>
    <w:tmpl w:val="493F70CF"/>
    <w:lvl w:ilvl="0" w:tentative="0">
      <w:start w:val="1"/>
      <w:numFmt w:val="chineseCounting"/>
      <w:suff w:val="nothing"/>
      <w:lvlText w:val="%1"/>
      <w:lvlJc w:val="left"/>
      <w:pPr>
        <w:ind w:left="0" w:firstLine="420"/>
      </w:pPr>
      <w:rPr>
        <w:rFonts w:hint="eastAsia"/>
      </w:rPr>
    </w:lvl>
  </w:abstractNum>
  <w:abstractNum w:abstractNumId="5">
    <w:nsid w:val="4E673CB1"/>
    <w:multiLevelType w:val="singleLevel"/>
    <w:tmpl w:val="4E673CB1"/>
    <w:lvl w:ilvl="0" w:tentative="0">
      <w:start w:val="1"/>
      <w:numFmt w:val="decimal"/>
      <w:lvlText w:val="%1"/>
      <w:lvlJc w:val="left"/>
      <w:pPr>
        <w:tabs>
          <w:tab w:val="left" w:pos="420"/>
        </w:tabs>
        <w:ind w:left="425" w:leftChars="0" w:hanging="425" w:firstLineChars="0"/>
      </w:pPr>
      <w:rPr>
        <w:rFonts w:hint="default"/>
      </w:rPr>
    </w:lvl>
  </w:abstractNum>
  <w:abstractNum w:abstractNumId="6">
    <w:nsid w:val="5D829A12"/>
    <w:multiLevelType w:val="singleLevel"/>
    <w:tmpl w:val="5D829A12"/>
    <w:lvl w:ilvl="0" w:tentative="0">
      <w:start w:val="2"/>
      <w:numFmt w:val="decimal"/>
      <w:lvlText w:val="%1."/>
      <w:lvlJc w:val="left"/>
      <w:pPr>
        <w:tabs>
          <w:tab w:val="left" w:pos="312"/>
        </w:tabs>
      </w:p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iMGMwZjIwYzcyN2YxYmJiNzIzMmNkMGQ5ZTliZDAifQ=="/>
  </w:docVars>
  <w:rsids>
    <w:rsidRoot w:val="00D6141F"/>
    <w:rsid w:val="0000008D"/>
    <w:rsid w:val="00000577"/>
    <w:rsid w:val="00000723"/>
    <w:rsid w:val="00000AAA"/>
    <w:rsid w:val="000015AB"/>
    <w:rsid w:val="00001D38"/>
    <w:rsid w:val="000027BE"/>
    <w:rsid w:val="00002BBE"/>
    <w:rsid w:val="000033CF"/>
    <w:rsid w:val="00003692"/>
    <w:rsid w:val="00003E42"/>
    <w:rsid w:val="000049D3"/>
    <w:rsid w:val="00004BCF"/>
    <w:rsid w:val="00004BF0"/>
    <w:rsid w:val="00004C16"/>
    <w:rsid w:val="0000560F"/>
    <w:rsid w:val="00005D1B"/>
    <w:rsid w:val="00006677"/>
    <w:rsid w:val="00006D70"/>
    <w:rsid w:val="00007EFA"/>
    <w:rsid w:val="00007F31"/>
    <w:rsid w:val="00010447"/>
    <w:rsid w:val="00010B74"/>
    <w:rsid w:val="000111D5"/>
    <w:rsid w:val="00011828"/>
    <w:rsid w:val="0001216E"/>
    <w:rsid w:val="000131DC"/>
    <w:rsid w:val="0001327B"/>
    <w:rsid w:val="000143C9"/>
    <w:rsid w:val="00014643"/>
    <w:rsid w:val="00014D71"/>
    <w:rsid w:val="0001581F"/>
    <w:rsid w:val="0001594E"/>
    <w:rsid w:val="00015B3B"/>
    <w:rsid w:val="0001640B"/>
    <w:rsid w:val="00016620"/>
    <w:rsid w:val="0001672D"/>
    <w:rsid w:val="00017089"/>
    <w:rsid w:val="000172A0"/>
    <w:rsid w:val="000209B5"/>
    <w:rsid w:val="000223E8"/>
    <w:rsid w:val="0002251A"/>
    <w:rsid w:val="000225DE"/>
    <w:rsid w:val="000226A1"/>
    <w:rsid w:val="0002298B"/>
    <w:rsid w:val="000246DA"/>
    <w:rsid w:val="00024C1F"/>
    <w:rsid w:val="00025CAB"/>
    <w:rsid w:val="000263BA"/>
    <w:rsid w:val="00026E4B"/>
    <w:rsid w:val="00027772"/>
    <w:rsid w:val="000303FC"/>
    <w:rsid w:val="00030B32"/>
    <w:rsid w:val="0003183E"/>
    <w:rsid w:val="000322EE"/>
    <w:rsid w:val="000332C2"/>
    <w:rsid w:val="00033CAC"/>
    <w:rsid w:val="00033F0D"/>
    <w:rsid w:val="00034A1C"/>
    <w:rsid w:val="00034A67"/>
    <w:rsid w:val="00034E3B"/>
    <w:rsid w:val="0003543D"/>
    <w:rsid w:val="00035768"/>
    <w:rsid w:val="00035D2E"/>
    <w:rsid w:val="00036E73"/>
    <w:rsid w:val="000371BB"/>
    <w:rsid w:val="00040160"/>
    <w:rsid w:val="00040384"/>
    <w:rsid w:val="00040D5A"/>
    <w:rsid w:val="00042795"/>
    <w:rsid w:val="00043F40"/>
    <w:rsid w:val="000443BE"/>
    <w:rsid w:val="00044893"/>
    <w:rsid w:val="00045A96"/>
    <w:rsid w:val="00047168"/>
    <w:rsid w:val="000501FE"/>
    <w:rsid w:val="0005020A"/>
    <w:rsid w:val="000504EF"/>
    <w:rsid w:val="00050AC7"/>
    <w:rsid w:val="00051BC2"/>
    <w:rsid w:val="00053234"/>
    <w:rsid w:val="000536E7"/>
    <w:rsid w:val="000536F3"/>
    <w:rsid w:val="00054122"/>
    <w:rsid w:val="0005413E"/>
    <w:rsid w:val="00054246"/>
    <w:rsid w:val="00054366"/>
    <w:rsid w:val="00054513"/>
    <w:rsid w:val="0005484E"/>
    <w:rsid w:val="00054B73"/>
    <w:rsid w:val="0005528E"/>
    <w:rsid w:val="00055FEF"/>
    <w:rsid w:val="00056033"/>
    <w:rsid w:val="000569B9"/>
    <w:rsid w:val="00056A80"/>
    <w:rsid w:val="000601A4"/>
    <w:rsid w:val="00060951"/>
    <w:rsid w:val="00060DCD"/>
    <w:rsid w:val="000612A3"/>
    <w:rsid w:val="00061EB4"/>
    <w:rsid w:val="00062AD8"/>
    <w:rsid w:val="00063785"/>
    <w:rsid w:val="000638DF"/>
    <w:rsid w:val="00063F97"/>
    <w:rsid w:val="00065156"/>
    <w:rsid w:val="00066D09"/>
    <w:rsid w:val="000673DD"/>
    <w:rsid w:val="00067E45"/>
    <w:rsid w:val="00070A06"/>
    <w:rsid w:val="0007106C"/>
    <w:rsid w:val="000717ED"/>
    <w:rsid w:val="00071AE4"/>
    <w:rsid w:val="00071F3A"/>
    <w:rsid w:val="00072059"/>
    <w:rsid w:val="0007211A"/>
    <w:rsid w:val="00072657"/>
    <w:rsid w:val="00073AC2"/>
    <w:rsid w:val="0007589E"/>
    <w:rsid w:val="00075B85"/>
    <w:rsid w:val="00076A8F"/>
    <w:rsid w:val="0007785F"/>
    <w:rsid w:val="00080604"/>
    <w:rsid w:val="00080E0A"/>
    <w:rsid w:val="00081288"/>
    <w:rsid w:val="00081C7C"/>
    <w:rsid w:val="000821FD"/>
    <w:rsid w:val="000828FB"/>
    <w:rsid w:val="00082D8E"/>
    <w:rsid w:val="00083388"/>
    <w:rsid w:val="00083B3D"/>
    <w:rsid w:val="00083E46"/>
    <w:rsid w:val="000842FF"/>
    <w:rsid w:val="000848E4"/>
    <w:rsid w:val="00086631"/>
    <w:rsid w:val="0008690C"/>
    <w:rsid w:val="00086AC8"/>
    <w:rsid w:val="00086D1E"/>
    <w:rsid w:val="00086D46"/>
    <w:rsid w:val="00087407"/>
    <w:rsid w:val="00087500"/>
    <w:rsid w:val="0009077E"/>
    <w:rsid w:val="00091B40"/>
    <w:rsid w:val="0009279B"/>
    <w:rsid w:val="000927A1"/>
    <w:rsid w:val="00093220"/>
    <w:rsid w:val="00094442"/>
    <w:rsid w:val="000947E5"/>
    <w:rsid w:val="00094AC2"/>
    <w:rsid w:val="00095BFA"/>
    <w:rsid w:val="000964C2"/>
    <w:rsid w:val="0009652F"/>
    <w:rsid w:val="000969F7"/>
    <w:rsid w:val="00097214"/>
    <w:rsid w:val="000A138D"/>
    <w:rsid w:val="000A16FD"/>
    <w:rsid w:val="000A1E1E"/>
    <w:rsid w:val="000A25EF"/>
    <w:rsid w:val="000A2B86"/>
    <w:rsid w:val="000A3171"/>
    <w:rsid w:val="000A3A35"/>
    <w:rsid w:val="000A6B22"/>
    <w:rsid w:val="000A7CE9"/>
    <w:rsid w:val="000B0E45"/>
    <w:rsid w:val="000B19A0"/>
    <w:rsid w:val="000B1A50"/>
    <w:rsid w:val="000B2A59"/>
    <w:rsid w:val="000B2E35"/>
    <w:rsid w:val="000B3312"/>
    <w:rsid w:val="000B35CC"/>
    <w:rsid w:val="000B4A84"/>
    <w:rsid w:val="000B4AF6"/>
    <w:rsid w:val="000B55EC"/>
    <w:rsid w:val="000B6985"/>
    <w:rsid w:val="000B6C5B"/>
    <w:rsid w:val="000C13E0"/>
    <w:rsid w:val="000C1537"/>
    <w:rsid w:val="000C1B23"/>
    <w:rsid w:val="000C2234"/>
    <w:rsid w:val="000C28CB"/>
    <w:rsid w:val="000C291B"/>
    <w:rsid w:val="000C2E30"/>
    <w:rsid w:val="000C3EB6"/>
    <w:rsid w:val="000C5478"/>
    <w:rsid w:val="000C547F"/>
    <w:rsid w:val="000C6733"/>
    <w:rsid w:val="000D01B1"/>
    <w:rsid w:val="000D077C"/>
    <w:rsid w:val="000D244C"/>
    <w:rsid w:val="000D2DDA"/>
    <w:rsid w:val="000D37BC"/>
    <w:rsid w:val="000D3C9D"/>
    <w:rsid w:val="000D3E60"/>
    <w:rsid w:val="000D455A"/>
    <w:rsid w:val="000D4A7D"/>
    <w:rsid w:val="000D4CB5"/>
    <w:rsid w:val="000D53D6"/>
    <w:rsid w:val="000D60AE"/>
    <w:rsid w:val="000D6ACB"/>
    <w:rsid w:val="000D6C2B"/>
    <w:rsid w:val="000E0E2B"/>
    <w:rsid w:val="000E11F3"/>
    <w:rsid w:val="000E12FF"/>
    <w:rsid w:val="000E1C88"/>
    <w:rsid w:val="000E2125"/>
    <w:rsid w:val="000E2340"/>
    <w:rsid w:val="000E3A0A"/>
    <w:rsid w:val="000E3F4A"/>
    <w:rsid w:val="000E4122"/>
    <w:rsid w:val="000E4309"/>
    <w:rsid w:val="000E47A4"/>
    <w:rsid w:val="000E4885"/>
    <w:rsid w:val="000E52A6"/>
    <w:rsid w:val="000E72C8"/>
    <w:rsid w:val="000E7786"/>
    <w:rsid w:val="000E7FBE"/>
    <w:rsid w:val="000F023E"/>
    <w:rsid w:val="000F0A7E"/>
    <w:rsid w:val="000F0CFA"/>
    <w:rsid w:val="000F111D"/>
    <w:rsid w:val="000F1329"/>
    <w:rsid w:val="000F1B54"/>
    <w:rsid w:val="000F1DB7"/>
    <w:rsid w:val="000F1FE4"/>
    <w:rsid w:val="000F29FD"/>
    <w:rsid w:val="000F2A06"/>
    <w:rsid w:val="000F3139"/>
    <w:rsid w:val="000F3243"/>
    <w:rsid w:val="000F3C87"/>
    <w:rsid w:val="000F420B"/>
    <w:rsid w:val="000F46CE"/>
    <w:rsid w:val="000F4E3B"/>
    <w:rsid w:val="000F76E9"/>
    <w:rsid w:val="000F7948"/>
    <w:rsid w:val="00100335"/>
    <w:rsid w:val="00100888"/>
    <w:rsid w:val="00100C5C"/>
    <w:rsid w:val="00102709"/>
    <w:rsid w:val="0010360F"/>
    <w:rsid w:val="001052FB"/>
    <w:rsid w:val="00105539"/>
    <w:rsid w:val="001055BE"/>
    <w:rsid w:val="00105A7F"/>
    <w:rsid w:val="00105C4B"/>
    <w:rsid w:val="001062EC"/>
    <w:rsid w:val="00106337"/>
    <w:rsid w:val="00106A88"/>
    <w:rsid w:val="0010709C"/>
    <w:rsid w:val="0011072C"/>
    <w:rsid w:val="00110783"/>
    <w:rsid w:val="001112DD"/>
    <w:rsid w:val="00111408"/>
    <w:rsid w:val="0011153D"/>
    <w:rsid w:val="00111824"/>
    <w:rsid w:val="00111C02"/>
    <w:rsid w:val="00111C03"/>
    <w:rsid w:val="00112B7B"/>
    <w:rsid w:val="00113163"/>
    <w:rsid w:val="00113DDC"/>
    <w:rsid w:val="001142CC"/>
    <w:rsid w:val="00114610"/>
    <w:rsid w:val="001150E9"/>
    <w:rsid w:val="00115292"/>
    <w:rsid w:val="00115C29"/>
    <w:rsid w:val="00115CCF"/>
    <w:rsid w:val="00115EE1"/>
    <w:rsid w:val="001166E8"/>
    <w:rsid w:val="0011757C"/>
    <w:rsid w:val="001201C1"/>
    <w:rsid w:val="001206A9"/>
    <w:rsid w:val="001211E1"/>
    <w:rsid w:val="0012185A"/>
    <w:rsid w:val="00121F08"/>
    <w:rsid w:val="00122232"/>
    <w:rsid w:val="001227B7"/>
    <w:rsid w:val="00123B51"/>
    <w:rsid w:val="00123F47"/>
    <w:rsid w:val="001240E9"/>
    <w:rsid w:val="00124E37"/>
    <w:rsid w:val="001254BD"/>
    <w:rsid w:val="00125BAF"/>
    <w:rsid w:val="001272C6"/>
    <w:rsid w:val="00127656"/>
    <w:rsid w:val="00127DE7"/>
    <w:rsid w:val="00127F80"/>
    <w:rsid w:val="00133A62"/>
    <w:rsid w:val="001343CB"/>
    <w:rsid w:val="00134AD5"/>
    <w:rsid w:val="0013754D"/>
    <w:rsid w:val="00137DD5"/>
    <w:rsid w:val="00140F1A"/>
    <w:rsid w:val="00141DD5"/>
    <w:rsid w:val="00141FD5"/>
    <w:rsid w:val="00142350"/>
    <w:rsid w:val="00142481"/>
    <w:rsid w:val="001424BC"/>
    <w:rsid w:val="00142B4C"/>
    <w:rsid w:val="00142FA8"/>
    <w:rsid w:val="00143491"/>
    <w:rsid w:val="00143C9F"/>
    <w:rsid w:val="00144961"/>
    <w:rsid w:val="001449DE"/>
    <w:rsid w:val="00144D3B"/>
    <w:rsid w:val="0014571C"/>
    <w:rsid w:val="00145B0C"/>
    <w:rsid w:val="001463DE"/>
    <w:rsid w:val="00146BD6"/>
    <w:rsid w:val="00146D03"/>
    <w:rsid w:val="001500A7"/>
    <w:rsid w:val="00150716"/>
    <w:rsid w:val="00150B07"/>
    <w:rsid w:val="0015149C"/>
    <w:rsid w:val="0015201A"/>
    <w:rsid w:val="00152239"/>
    <w:rsid w:val="0015347F"/>
    <w:rsid w:val="00153A3C"/>
    <w:rsid w:val="0015443A"/>
    <w:rsid w:val="001545BC"/>
    <w:rsid w:val="00154CD3"/>
    <w:rsid w:val="00154EBF"/>
    <w:rsid w:val="00154FAA"/>
    <w:rsid w:val="00155078"/>
    <w:rsid w:val="00155CD8"/>
    <w:rsid w:val="00156CE0"/>
    <w:rsid w:val="00160177"/>
    <w:rsid w:val="001605CE"/>
    <w:rsid w:val="001609F5"/>
    <w:rsid w:val="00160C1E"/>
    <w:rsid w:val="00160D72"/>
    <w:rsid w:val="00161361"/>
    <w:rsid w:val="00161558"/>
    <w:rsid w:val="00161562"/>
    <w:rsid w:val="00163ED0"/>
    <w:rsid w:val="00167161"/>
    <w:rsid w:val="00167206"/>
    <w:rsid w:val="00170071"/>
    <w:rsid w:val="001702E0"/>
    <w:rsid w:val="00171A9A"/>
    <w:rsid w:val="00171D63"/>
    <w:rsid w:val="001721E1"/>
    <w:rsid w:val="0017441D"/>
    <w:rsid w:val="00174578"/>
    <w:rsid w:val="00175269"/>
    <w:rsid w:val="00175840"/>
    <w:rsid w:val="00175AB1"/>
    <w:rsid w:val="00180918"/>
    <w:rsid w:val="0018177F"/>
    <w:rsid w:val="0018200F"/>
    <w:rsid w:val="0018245B"/>
    <w:rsid w:val="00182F8E"/>
    <w:rsid w:val="00183D03"/>
    <w:rsid w:val="00184205"/>
    <w:rsid w:val="0018451A"/>
    <w:rsid w:val="0018472C"/>
    <w:rsid w:val="00184C24"/>
    <w:rsid w:val="0018544F"/>
    <w:rsid w:val="0018605B"/>
    <w:rsid w:val="0018611D"/>
    <w:rsid w:val="00186B13"/>
    <w:rsid w:val="001879B5"/>
    <w:rsid w:val="00187BF9"/>
    <w:rsid w:val="0019005E"/>
    <w:rsid w:val="001901A2"/>
    <w:rsid w:val="00191B02"/>
    <w:rsid w:val="00191EC2"/>
    <w:rsid w:val="00191EDC"/>
    <w:rsid w:val="00192179"/>
    <w:rsid w:val="00193100"/>
    <w:rsid w:val="00193A02"/>
    <w:rsid w:val="00193FBE"/>
    <w:rsid w:val="00194724"/>
    <w:rsid w:val="001952DD"/>
    <w:rsid w:val="001958A9"/>
    <w:rsid w:val="00196D68"/>
    <w:rsid w:val="001A0162"/>
    <w:rsid w:val="001A0EAF"/>
    <w:rsid w:val="001A203E"/>
    <w:rsid w:val="001A2E34"/>
    <w:rsid w:val="001A32D2"/>
    <w:rsid w:val="001A364C"/>
    <w:rsid w:val="001A370E"/>
    <w:rsid w:val="001A3751"/>
    <w:rsid w:val="001A3B3D"/>
    <w:rsid w:val="001A6EC6"/>
    <w:rsid w:val="001A71CC"/>
    <w:rsid w:val="001A786F"/>
    <w:rsid w:val="001A7DA8"/>
    <w:rsid w:val="001B1269"/>
    <w:rsid w:val="001B1B4B"/>
    <w:rsid w:val="001B1E66"/>
    <w:rsid w:val="001B2F96"/>
    <w:rsid w:val="001B4D28"/>
    <w:rsid w:val="001B6DBC"/>
    <w:rsid w:val="001B723C"/>
    <w:rsid w:val="001B7970"/>
    <w:rsid w:val="001B7C76"/>
    <w:rsid w:val="001C06F9"/>
    <w:rsid w:val="001C0B69"/>
    <w:rsid w:val="001C117D"/>
    <w:rsid w:val="001C2727"/>
    <w:rsid w:val="001C2E33"/>
    <w:rsid w:val="001C4C55"/>
    <w:rsid w:val="001C4DBB"/>
    <w:rsid w:val="001C5236"/>
    <w:rsid w:val="001C5E86"/>
    <w:rsid w:val="001C65D0"/>
    <w:rsid w:val="001C723D"/>
    <w:rsid w:val="001D01E0"/>
    <w:rsid w:val="001D0BF4"/>
    <w:rsid w:val="001D15E7"/>
    <w:rsid w:val="001D1756"/>
    <w:rsid w:val="001D1BE7"/>
    <w:rsid w:val="001D2C58"/>
    <w:rsid w:val="001D3E88"/>
    <w:rsid w:val="001D4E07"/>
    <w:rsid w:val="001D5240"/>
    <w:rsid w:val="001D5666"/>
    <w:rsid w:val="001D6552"/>
    <w:rsid w:val="001D6919"/>
    <w:rsid w:val="001D6A85"/>
    <w:rsid w:val="001D6CE2"/>
    <w:rsid w:val="001D776D"/>
    <w:rsid w:val="001D7ECA"/>
    <w:rsid w:val="001E1CF3"/>
    <w:rsid w:val="001E2312"/>
    <w:rsid w:val="001E244B"/>
    <w:rsid w:val="001E356C"/>
    <w:rsid w:val="001E43BE"/>
    <w:rsid w:val="001E53B0"/>
    <w:rsid w:val="001E5DAE"/>
    <w:rsid w:val="001E6DC3"/>
    <w:rsid w:val="001E74BE"/>
    <w:rsid w:val="001E7AA9"/>
    <w:rsid w:val="001F06DE"/>
    <w:rsid w:val="001F0A05"/>
    <w:rsid w:val="001F0BAA"/>
    <w:rsid w:val="001F0D8D"/>
    <w:rsid w:val="001F0EC9"/>
    <w:rsid w:val="001F11CB"/>
    <w:rsid w:val="001F301A"/>
    <w:rsid w:val="001F35F5"/>
    <w:rsid w:val="001F5606"/>
    <w:rsid w:val="001F5718"/>
    <w:rsid w:val="001F5E70"/>
    <w:rsid w:val="001F6129"/>
    <w:rsid w:val="001F618E"/>
    <w:rsid w:val="001F6D11"/>
    <w:rsid w:val="001F7467"/>
    <w:rsid w:val="001F7B13"/>
    <w:rsid w:val="00201856"/>
    <w:rsid w:val="002018CA"/>
    <w:rsid w:val="002019F4"/>
    <w:rsid w:val="00202284"/>
    <w:rsid w:val="0020295B"/>
    <w:rsid w:val="00202F8A"/>
    <w:rsid w:val="00203050"/>
    <w:rsid w:val="00204740"/>
    <w:rsid w:val="0020488C"/>
    <w:rsid w:val="00204DD5"/>
    <w:rsid w:val="00206C69"/>
    <w:rsid w:val="00206F43"/>
    <w:rsid w:val="002100A4"/>
    <w:rsid w:val="002104DA"/>
    <w:rsid w:val="00210BD9"/>
    <w:rsid w:val="00210D8B"/>
    <w:rsid w:val="002114D3"/>
    <w:rsid w:val="002116E7"/>
    <w:rsid w:val="002120D0"/>
    <w:rsid w:val="002124F1"/>
    <w:rsid w:val="00212CF4"/>
    <w:rsid w:val="00212D5F"/>
    <w:rsid w:val="0021302E"/>
    <w:rsid w:val="002141F6"/>
    <w:rsid w:val="0021477E"/>
    <w:rsid w:val="00216013"/>
    <w:rsid w:val="00216C85"/>
    <w:rsid w:val="0021709E"/>
    <w:rsid w:val="002177C2"/>
    <w:rsid w:val="00220338"/>
    <w:rsid w:val="00221386"/>
    <w:rsid w:val="00221729"/>
    <w:rsid w:val="00221B01"/>
    <w:rsid w:val="0022418F"/>
    <w:rsid w:val="00224657"/>
    <w:rsid w:val="002259C4"/>
    <w:rsid w:val="0022712D"/>
    <w:rsid w:val="0022766B"/>
    <w:rsid w:val="00227AA0"/>
    <w:rsid w:val="00230005"/>
    <w:rsid w:val="002310A9"/>
    <w:rsid w:val="002312A5"/>
    <w:rsid w:val="00231B0F"/>
    <w:rsid w:val="00232173"/>
    <w:rsid w:val="002323BD"/>
    <w:rsid w:val="002346AA"/>
    <w:rsid w:val="00235BDB"/>
    <w:rsid w:val="00236488"/>
    <w:rsid w:val="00236E08"/>
    <w:rsid w:val="00236ED6"/>
    <w:rsid w:val="00237211"/>
    <w:rsid w:val="00240DF8"/>
    <w:rsid w:val="00241014"/>
    <w:rsid w:val="00241DCA"/>
    <w:rsid w:val="0024574D"/>
    <w:rsid w:val="00245F88"/>
    <w:rsid w:val="00245F8E"/>
    <w:rsid w:val="00247160"/>
    <w:rsid w:val="00247254"/>
    <w:rsid w:val="0025015F"/>
    <w:rsid w:val="00250F6F"/>
    <w:rsid w:val="0025138E"/>
    <w:rsid w:val="002515A6"/>
    <w:rsid w:val="002518D9"/>
    <w:rsid w:val="0025196B"/>
    <w:rsid w:val="00252060"/>
    <w:rsid w:val="0025368A"/>
    <w:rsid w:val="00253B7C"/>
    <w:rsid w:val="00253B9C"/>
    <w:rsid w:val="002540F9"/>
    <w:rsid w:val="00255096"/>
    <w:rsid w:val="002551E0"/>
    <w:rsid w:val="00255625"/>
    <w:rsid w:val="00256C05"/>
    <w:rsid w:val="00256D9D"/>
    <w:rsid w:val="00260D28"/>
    <w:rsid w:val="002614FB"/>
    <w:rsid w:val="0026155E"/>
    <w:rsid w:val="00261EF0"/>
    <w:rsid w:val="00263FD9"/>
    <w:rsid w:val="00265C16"/>
    <w:rsid w:val="00266561"/>
    <w:rsid w:val="002665BA"/>
    <w:rsid w:val="00266D31"/>
    <w:rsid w:val="00266D4F"/>
    <w:rsid w:val="0026738A"/>
    <w:rsid w:val="0026760E"/>
    <w:rsid w:val="00267C77"/>
    <w:rsid w:val="00270296"/>
    <w:rsid w:val="00270384"/>
    <w:rsid w:val="00270DED"/>
    <w:rsid w:val="002718D1"/>
    <w:rsid w:val="00271921"/>
    <w:rsid w:val="00271CFC"/>
    <w:rsid w:val="00273FC2"/>
    <w:rsid w:val="00274578"/>
    <w:rsid w:val="00274F93"/>
    <w:rsid w:val="00275495"/>
    <w:rsid w:val="00276357"/>
    <w:rsid w:val="00276773"/>
    <w:rsid w:val="00277A4C"/>
    <w:rsid w:val="00280139"/>
    <w:rsid w:val="0028037C"/>
    <w:rsid w:val="002804DF"/>
    <w:rsid w:val="00280BD6"/>
    <w:rsid w:val="00281B59"/>
    <w:rsid w:val="00284650"/>
    <w:rsid w:val="00284817"/>
    <w:rsid w:val="00284AF6"/>
    <w:rsid w:val="00284FD2"/>
    <w:rsid w:val="00284FE8"/>
    <w:rsid w:val="002853DD"/>
    <w:rsid w:val="00285861"/>
    <w:rsid w:val="002868D7"/>
    <w:rsid w:val="00286B27"/>
    <w:rsid w:val="00286B8C"/>
    <w:rsid w:val="00286D59"/>
    <w:rsid w:val="00287473"/>
    <w:rsid w:val="0028786C"/>
    <w:rsid w:val="0029015E"/>
    <w:rsid w:val="00291436"/>
    <w:rsid w:val="00291798"/>
    <w:rsid w:val="002917C3"/>
    <w:rsid w:val="00291E91"/>
    <w:rsid w:val="0029242B"/>
    <w:rsid w:val="00292CA4"/>
    <w:rsid w:val="002932C0"/>
    <w:rsid w:val="00293F46"/>
    <w:rsid w:val="0029418B"/>
    <w:rsid w:val="0029482A"/>
    <w:rsid w:val="002950A0"/>
    <w:rsid w:val="002956E2"/>
    <w:rsid w:val="00295AB3"/>
    <w:rsid w:val="00295D0B"/>
    <w:rsid w:val="00296502"/>
    <w:rsid w:val="002965CA"/>
    <w:rsid w:val="00297468"/>
    <w:rsid w:val="00297A25"/>
    <w:rsid w:val="002A007F"/>
    <w:rsid w:val="002A11B1"/>
    <w:rsid w:val="002A1306"/>
    <w:rsid w:val="002A145E"/>
    <w:rsid w:val="002A177C"/>
    <w:rsid w:val="002A1BE4"/>
    <w:rsid w:val="002A2421"/>
    <w:rsid w:val="002A2827"/>
    <w:rsid w:val="002A2999"/>
    <w:rsid w:val="002A2A5E"/>
    <w:rsid w:val="002A3289"/>
    <w:rsid w:val="002A3AB7"/>
    <w:rsid w:val="002A5719"/>
    <w:rsid w:val="002A5902"/>
    <w:rsid w:val="002A6042"/>
    <w:rsid w:val="002A6F3B"/>
    <w:rsid w:val="002A7220"/>
    <w:rsid w:val="002A743A"/>
    <w:rsid w:val="002A74C7"/>
    <w:rsid w:val="002B0A3A"/>
    <w:rsid w:val="002B0B12"/>
    <w:rsid w:val="002B0BA4"/>
    <w:rsid w:val="002B18BF"/>
    <w:rsid w:val="002B1A85"/>
    <w:rsid w:val="002B1B6C"/>
    <w:rsid w:val="002B2031"/>
    <w:rsid w:val="002B2A02"/>
    <w:rsid w:val="002B2CB9"/>
    <w:rsid w:val="002B2E87"/>
    <w:rsid w:val="002B2FAA"/>
    <w:rsid w:val="002B4894"/>
    <w:rsid w:val="002B4E4C"/>
    <w:rsid w:val="002B52BF"/>
    <w:rsid w:val="002B6484"/>
    <w:rsid w:val="002B6817"/>
    <w:rsid w:val="002B7F77"/>
    <w:rsid w:val="002C0F62"/>
    <w:rsid w:val="002C2A18"/>
    <w:rsid w:val="002C2B52"/>
    <w:rsid w:val="002C3FA2"/>
    <w:rsid w:val="002C489F"/>
    <w:rsid w:val="002C5225"/>
    <w:rsid w:val="002C711A"/>
    <w:rsid w:val="002D0070"/>
    <w:rsid w:val="002D1D43"/>
    <w:rsid w:val="002D2C9B"/>
    <w:rsid w:val="002D3335"/>
    <w:rsid w:val="002D349C"/>
    <w:rsid w:val="002D48FC"/>
    <w:rsid w:val="002D4984"/>
    <w:rsid w:val="002D4AA8"/>
    <w:rsid w:val="002D532E"/>
    <w:rsid w:val="002D676B"/>
    <w:rsid w:val="002E01C2"/>
    <w:rsid w:val="002E05DF"/>
    <w:rsid w:val="002E1D77"/>
    <w:rsid w:val="002E333E"/>
    <w:rsid w:val="002E4583"/>
    <w:rsid w:val="002E45FC"/>
    <w:rsid w:val="002E5959"/>
    <w:rsid w:val="002E6349"/>
    <w:rsid w:val="002E6D11"/>
    <w:rsid w:val="002E6D20"/>
    <w:rsid w:val="002F0EA1"/>
    <w:rsid w:val="002F10CC"/>
    <w:rsid w:val="002F330F"/>
    <w:rsid w:val="002F3D00"/>
    <w:rsid w:val="002F40C1"/>
    <w:rsid w:val="002F61E8"/>
    <w:rsid w:val="002F7E5B"/>
    <w:rsid w:val="0030038D"/>
    <w:rsid w:val="00300725"/>
    <w:rsid w:val="003019A9"/>
    <w:rsid w:val="00303D16"/>
    <w:rsid w:val="003044B1"/>
    <w:rsid w:val="003054E6"/>
    <w:rsid w:val="00305B4A"/>
    <w:rsid w:val="00307702"/>
    <w:rsid w:val="0031028D"/>
    <w:rsid w:val="00310BE8"/>
    <w:rsid w:val="00311E00"/>
    <w:rsid w:val="00312C24"/>
    <w:rsid w:val="0031424E"/>
    <w:rsid w:val="00314309"/>
    <w:rsid w:val="0031446F"/>
    <w:rsid w:val="00315B12"/>
    <w:rsid w:val="00315E3B"/>
    <w:rsid w:val="003163E7"/>
    <w:rsid w:val="00316C12"/>
    <w:rsid w:val="00317EB8"/>
    <w:rsid w:val="0032002B"/>
    <w:rsid w:val="003211BF"/>
    <w:rsid w:val="003219E5"/>
    <w:rsid w:val="00321D14"/>
    <w:rsid w:val="00321F73"/>
    <w:rsid w:val="00323A07"/>
    <w:rsid w:val="00323EC8"/>
    <w:rsid w:val="00324502"/>
    <w:rsid w:val="00324E9E"/>
    <w:rsid w:val="00327B56"/>
    <w:rsid w:val="003306E5"/>
    <w:rsid w:val="00330AFA"/>
    <w:rsid w:val="00330C19"/>
    <w:rsid w:val="0033180F"/>
    <w:rsid w:val="003326C5"/>
    <w:rsid w:val="00332D0F"/>
    <w:rsid w:val="0033335A"/>
    <w:rsid w:val="003345A9"/>
    <w:rsid w:val="00334942"/>
    <w:rsid w:val="00334A37"/>
    <w:rsid w:val="003350A7"/>
    <w:rsid w:val="00335779"/>
    <w:rsid w:val="0033585D"/>
    <w:rsid w:val="00335F8F"/>
    <w:rsid w:val="003365BF"/>
    <w:rsid w:val="0033744A"/>
    <w:rsid w:val="003402A1"/>
    <w:rsid w:val="00341538"/>
    <w:rsid w:val="00341B47"/>
    <w:rsid w:val="00342798"/>
    <w:rsid w:val="0034280B"/>
    <w:rsid w:val="00342BB6"/>
    <w:rsid w:val="00342CA1"/>
    <w:rsid w:val="00342ED3"/>
    <w:rsid w:val="00342EFA"/>
    <w:rsid w:val="003439A3"/>
    <w:rsid w:val="00343C08"/>
    <w:rsid w:val="00345734"/>
    <w:rsid w:val="00345B12"/>
    <w:rsid w:val="00345EB9"/>
    <w:rsid w:val="00346065"/>
    <w:rsid w:val="00346113"/>
    <w:rsid w:val="00346750"/>
    <w:rsid w:val="00347BB5"/>
    <w:rsid w:val="00347EC2"/>
    <w:rsid w:val="00351A6B"/>
    <w:rsid w:val="00351BF2"/>
    <w:rsid w:val="00352353"/>
    <w:rsid w:val="00353FC7"/>
    <w:rsid w:val="003546A7"/>
    <w:rsid w:val="003547CA"/>
    <w:rsid w:val="00354B5A"/>
    <w:rsid w:val="00355036"/>
    <w:rsid w:val="00355E53"/>
    <w:rsid w:val="00355F1D"/>
    <w:rsid w:val="00356653"/>
    <w:rsid w:val="00357745"/>
    <w:rsid w:val="003609E0"/>
    <w:rsid w:val="00360A21"/>
    <w:rsid w:val="00361340"/>
    <w:rsid w:val="00361AD6"/>
    <w:rsid w:val="003625F6"/>
    <w:rsid w:val="0036273C"/>
    <w:rsid w:val="00362B7B"/>
    <w:rsid w:val="003635D4"/>
    <w:rsid w:val="003640B1"/>
    <w:rsid w:val="003651A2"/>
    <w:rsid w:val="003657B3"/>
    <w:rsid w:val="00365ADF"/>
    <w:rsid w:val="00365D54"/>
    <w:rsid w:val="00365E29"/>
    <w:rsid w:val="00367282"/>
    <w:rsid w:val="00367775"/>
    <w:rsid w:val="00367AE1"/>
    <w:rsid w:val="003701C3"/>
    <w:rsid w:val="00370658"/>
    <w:rsid w:val="00370D5D"/>
    <w:rsid w:val="003719FF"/>
    <w:rsid w:val="00371E94"/>
    <w:rsid w:val="00372467"/>
    <w:rsid w:val="00372858"/>
    <w:rsid w:val="00373644"/>
    <w:rsid w:val="00373FC4"/>
    <w:rsid w:val="00375D9A"/>
    <w:rsid w:val="00376A6C"/>
    <w:rsid w:val="00377144"/>
    <w:rsid w:val="0037722B"/>
    <w:rsid w:val="00377855"/>
    <w:rsid w:val="00377C22"/>
    <w:rsid w:val="003807C8"/>
    <w:rsid w:val="00381A5F"/>
    <w:rsid w:val="00382314"/>
    <w:rsid w:val="00382943"/>
    <w:rsid w:val="00382F22"/>
    <w:rsid w:val="0038350C"/>
    <w:rsid w:val="00383846"/>
    <w:rsid w:val="0038404B"/>
    <w:rsid w:val="0038421B"/>
    <w:rsid w:val="00386AE0"/>
    <w:rsid w:val="0038708F"/>
    <w:rsid w:val="0038754C"/>
    <w:rsid w:val="003879F0"/>
    <w:rsid w:val="00387A3D"/>
    <w:rsid w:val="003903E1"/>
    <w:rsid w:val="00390CC6"/>
    <w:rsid w:val="00391FD6"/>
    <w:rsid w:val="003921E7"/>
    <w:rsid w:val="00392A0C"/>
    <w:rsid w:val="00392E34"/>
    <w:rsid w:val="00393105"/>
    <w:rsid w:val="0039364B"/>
    <w:rsid w:val="00393C10"/>
    <w:rsid w:val="00393E0D"/>
    <w:rsid w:val="00394236"/>
    <w:rsid w:val="00395288"/>
    <w:rsid w:val="0039796C"/>
    <w:rsid w:val="00397A6D"/>
    <w:rsid w:val="003A1C12"/>
    <w:rsid w:val="003A20C8"/>
    <w:rsid w:val="003A3A5C"/>
    <w:rsid w:val="003A4809"/>
    <w:rsid w:val="003A5ADD"/>
    <w:rsid w:val="003A5D3E"/>
    <w:rsid w:val="003A6206"/>
    <w:rsid w:val="003A66A5"/>
    <w:rsid w:val="003A6BA4"/>
    <w:rsid w:val="003A76F3"/>
    <w:rsid w:val="003A7F3E"/>
    <w:rsid w:val="003B0575"/>
    <w:rsid w:val="003B08C1"/>
    <w:rsid w:val="003B0A96"/>
    <w:rsid w:val="003B13F7"/>
    <w:rsid w:val="003B1559"/>
    <w:rsid w:val="003B3F24"/>
    <w:rsid w:val="003B518F"/>
    <w:rsid w:val="003B54C9"/>
    <w:rsid w:val="003B6026"/>
    <w:rsid w:val="003B6032"/>
    <w:rsid w:val="003B68F7"/>
    <w:rsid w:val="003B691B"/>
    <w:rsid w:val="003B6E65"/>
    <w:rsid w:val="003B7107"/>
    <w:rsid w:val="003B7778"/>
    <w:rsid w:val="003C04EB"/>
    <w:rsid w:val="003C0568"/>
    <w:rsid w:val="003C0B2E"/>
    <w:rsid w:val="003C0EAF"/>
    <w:rsid w:val="003C1E24"/>
    <w:rsid w:val="003C2493"/>
    <w:rsid w:val="003C3444"/>
    <w:rsid w:val="003C3968"/>
    <w:rsid w:val="003C4485"/>
    <w:rsid w:val="003C44C8"/>
    <w:rsid w:val="003C4C3A"/>
    <w:rsid w:val="003C4FB3"/>
    <w:rsid w:val="003C553B"/>
    <w:rsid w:val="003C60C5"/>
    <w:rsid w:val="003C73A9"/>
    <w:rsid w:val="003C7A60"/>
    <w:rsid w:val="003D0741"/>
    <w:rsid w:val="003D0B4C"/>
    <w:rsid w:val="003D1C3C"/>
    <w:rsid w:val="003D25E9"/>
    <w:rsid w:val="003D2606"/>
    <w:rsid w:val="003D42C6"/>
    <w:rsid w:val="003D4653"/>
    <w:rsid w:val="003D48D9"/>
    <w:rsid w:val="003D4C62"/>
    <w:rsid w:val="003D50E4"/>
    <w:rsid w:val="003D5744"/>
    <w:rsid w:val="003D6712"/>
    <w:rsid w:val="003D728B"/>
    <w:rsid w:val="003E0493"/>
    <w:rsid w:val="003E2113"/>
    <w:rsid w:val="003E2A4C"/>
    <w:rsid w:val="003E329B"/>
    <w:rsid w:val="003E3535"/>
    <w:rsid w:val="003E3812"/>
    <w:rsid w:val="003E56E8"/>
    <w:rsid w:val="003E6D42"/>
    <w:rsid w:val="003E7EC9"/>
    <w:rsid w:val="003F07B5"/>
    <w:rsid w:val="003F215D"/>
    <w:rsid w:val="003F30A0"/>
    <w:rsid w:val="003F36F4"/>
    <w:rsid w:val="003F3763"/>
    <w:rsid w:val="003F3C86"/>
    <w:rsid w:val="003F40F7"/>
    <w:rsid w:val="003F432C"/>
    <w:rsid w:val="003F4F32"/>
    <w:rsid w:val="003F6CF6"/>
    <w:rsid w:val="003F730B"/>
    <w:rsid w:val="003F7883"/>
    <w:rsid w:val="004001CA"/>
    <w:rsid w:val="00401416"/>
    <w:rsid w:val="00401978"/>
    <w:rsid w:val="00401C10"/>
    <w:rsid w:val="00401D98"/>
    <w:rsid w:val="00401E77"/>
    <w:rsid w:val="00402357"/>
    <w:rsid w:val="0040285F"/>
    <w:rsid w:val="00403AEB"/>
    <w:rsid w:val="00403C04"/>
    <w:rsid w:val="00403FB2"/>
    <w:rsid w:val="00404058"/>
    <w:rsid w:val="00404AC4"/>
    <w:rsid w:val="004057A4"/>
    <w:rsid w:val="00405A34"/>
    <w:rsid w:val="00405C64"/>
    <w:rsid w:val="00406139"/>
    <w:rsid w:val="004064E3"/>
    <w:rsid w:val="00406787"/>
    <w:rsid w:val="00406950"/>
    <w:rsid w:val="00406C62"/>
    <w:rsid w:val="00407C01"/>
    <w:rsid w:val="0041063C"/>
    <w:rsid w:val="00410948"/>
    <w:rsid w:val="0041105C"/>
    <w:rsid w:val="00411471"/>
    <w:rsid w:val="004115DE"/>
    <w:rsid w:val="0041303B"/>
    <w:rsid w:val="0041371B"/>
    <w:rsid w:val="00413EEC"/>
    <w:rsid w:val="0041473C"/>
    <w:rsid w:val="00415674"/>
    <w:rsid w:val="00415D66"/>
    <w:rsid w:val="004168A3"/>
    <w:rsid w:val="004173A2"/>
    <w:rsid w:val="0042048C"/>
    <w:rsid w:val="00421875"/>
    <w:rsid w:val="0042243B"/>
    <w:rsid w:val="00423448"/>
    <w:rsid w:val="004237E5"/>
    <w:rsid w:val="00423A04"/>
    <w:rsid w:val="00425441"/>
    <w:rsid w:val="004257AE"/>
    <w:rsid w:val="00426047"/>
    <w:rsid w:val="0042614F"/>
    <w:rsid w:val="004274E7"/>
    <w:rsid w:val="00427F02"/>
    <w:rsid w:val="00432606"/>
    <w:rsid w:val="00433C90"/>
    <w:rsid w:val="00433F5B"/>
    <w:rsid w:val="004342F0"/>
    <w:rsid w:val="00434BA0"/>
    <w:rsid w:val="0043573D"/>
    <w:rsid w:val="004357CA"/>
    <w:rsid w:val="004363CD"/>
    <w:rsid w:val="004364BD"/>
    <w:rsid w:val="004368AE"/>
    <w:rsid w:val="004376B5"/>
    <w:rsid w:val="00437807"/>
    <w:rsid w:val="00440627"/>
    <w:rsid w:val="00441324"/>
    <w:rsid w:val="00442E2C"/>
    <w:rsid w:val="004437A4"/>
    <w:rsid w:val="00443C94"/>
    <w:rsid w:val="00444527"/>
    <w:rsid w:val="00446436"/>
    <w:rsid w:val="004500FE"/>
    <w:rsid w:val="004501BF"/>
    <w:rsid w:val="00450263"/>
    <w:rsid w:val="0045140A"/>
    <w:rsid w:val="00451AF3"/>
    <w:rsid w:val="004521D2"/>
    <w:rsid w:val="004523D9"/>
    <w:rsid w:val="004527F9"/>
    <w:rsid w:val="00452D2D"/>
    <w:rsid w:val="0045325C"/>
    <w:rsid w:val="00453688"/>
    <w:rsid w:val="00453748"/>
    <w:rsid w:val="0045376D"/>
    <w:rsid w:val="00454627"/>
    <w:rsid w:val="00454B7B"/>
    <w:rsid w:val="00455274"/>
    <w:rsid w:val="0045585C"/>
    <w:rsid w:val="00455B06"/>
    <w:rsid w:val="004600C4"/>
    <w:rsid w:val="00460AF1"/>
    <w:rsid w:val="00461BFE"/>
    <w:rsid w:val="00461C17"/>
    <w:rsid w:val="00461CBE"/>
    <w:rsid w:val="0046300B"/>
    <w:rsid w:val="004652E2"/>
    <w:rsid w:val="00465AEE"/>
    <w:rsid w:val="004675A1"/>
    <w:rsid w:val="004675DF"/>
    <w:rsid w:val="0046782A"/>
    <w:rsid w:val="0047146C"/>
    <w:rsid w:val="00471B37"/>
    <w:rsid w:val="00472283"/>
    <w:rsid w:val="004723DC"/>
    <w:rsid w:val="004729F1"/>
    <w:rsid w:val="00472A45"/>
    <w:rsid w:val="00472CE4"/>
    <w:rsid w:val="00473C56"/>
    <w:rsid w:val="0047468C"/>
    <w:rsid w:val="004748BC"/>
    <w:rsid w:val="004756DA"/>
    <w:rsid w:val="00476371"/>
    <w:rsid w:val="004806FA"/>
    <w:rsid w:val="00480A03"/>
    <w:rsid w:val="00481784"/>
    <w:rsid w:val="00481BA9"/>
    <w:rsid w:val="004823B1"/>
    <w:rsid w:val="004838F5"/>
    <w:rsid w:val="004849C5"/>
    <w:rsid w:val="00484FB7"/>
    <w:rsid w:val="004857C2"/>
    <w:rsid w:val="00485AD3"/>
    <w:rsid w:val="00486794"/>
    <w:rsid w:val="0048680C"/>
    <w:rsid w:val="004869B9"/>
    <w:rsid w:val="0048720A"/>
    <w:rsid w:val="004878BA"/>
    <w:rsid w:val="00487A67"/>
    <w:rsid w:val="00490640"/>
    <w:rsid w:val="00490865"/>
    <w:rsid w:val="00491736"/>
    <w:rsid w:val="00491857"/>
    <w:rsid w:val="0049208E"/>
    <w:rsid w:val="00495D7E"/>
    <w:rsid w:val="00497D1A"/>
    <w:rsid w:val="004A03A8"/>
    <w:rsid w:val="004A0E29"/>
    <w:rsid w:val="004A27E3"/>
    <w:rsid w:val="004A35AE"/>
    <w:rsid w:val="004A3D3D"/>
    <w:rsid w:val="004A4146"/>
    <w:rsid w:val="004A564D"/>
    <w:rsid w:val="004A57C9"/>
    <w:rsid w:val="004A68D8"/>
    <w:rsid w:val="004A6971"/>
    <w:rsid w:val="004A6BDF"/>
    <w:rsid w:val="004A70E2"/>
    <w:rsid w:val="004A749C"/>
    <w:rsid w:val="004B142A"/>
    <w:rsid w:val="004B2EF2"/>
    <w:rsid w:val="004B3D50"/>
    <w:rsid w:val="004B3F3C"/>
    <w:rsid w:val="004B5484"/>
    <w:rsid w:val="004B55ED"/>
    <w:rsid w:val="004B582B"/>
    <w:rsid w:val="004B6B4F"/>
    <w:rsid w:val="004B7B16"/>
    <w:rsid w:val="004C0E59"/>
    <w:rsid w:val="004C2007"/>
    <w:rsid w:val="004C2AE1"/>
    <w:rsid w:val="004C3855"/>
    <w:rsid w:val="004C3882"/>
    <w:rsid w:val="004C3A67"/>
    <w:rsid w:val="004C417E"/>
    <w:rsid w:val="004C4BF3"/>
    <w:rsid w:val="004C51AD"/>
    <w:rsid w:val="004C5376"/>
    <w:rsid w:val="004C5673"/>
    <w:rsid w:val="004C5A4E"/>
    <w:rsid w:val="004C5F13"/>
    <w:rsid w:val="004C6B61"/>
    <w:rsid w:val="004C7359"/>
    <w:rsid w:val="004C79AB"/>
    <w:rsid w:val="004D0507"/>
    <w:rsid w:val="004D071E"/>
    <w:rsid w:val="004D0954"/>
    <w:rsid w:val="004D12F1"/>
    <w:rsid w:val="004D18D4"/>
    <w:rsid w:val="004D1DD3"/>
    <w:rsid w:val="004D2D51"/>
    <w:rsid w:val="004D3964"/>
    <w:rsid w:val="004D3F69"/>
    <w:rsid w:val="004D42FC"/>
    <w:rsid w:val="004D5756"/>
    <w:rsid w:val="004D5FA4"/>
    <w:rsid w:val="004D638E"/>
    <w:rsid w:val="004D6467"/>
    <w:rsid w:val="004D6625"/>
    <w:rsid w:val="004D6A97"/>
    <w:rsid w:val="004D75C6"/>
    <w:rsid w:val="004D7A5B"/>
    <w:rsid w:val="004E0F59"/>
    <w:rsid w:val="004E10C0"/>
    <w:rsid w:val="004E1F74"/>
    <w:rsid w:val="004E2BB6"/>
    <w:rsid w:val="004E3F73"/>
    <w:rsid w:val="004E419C"/>
    <w:rsid w:val="004E46B1"/>
    <w:rsid w:val="004E4DC0"/>
    <w:rsid w:val="004E5529"/>
    <w:rsid w:val="004E583D"/>
    <w:rsid w:val="004E5B39"/>
    <w:rsid w:val="004E61DA"/>
    <w:rsid w:val="004E6978"/>
    <w:rsid w:val="004E70F7"/>
    <w:rsid w:val="004E7781"/>
    <w:rsid w:val="004E788C"/>
    <w:rsid w:val="004E7BFF"/>
    <w:rsid w:val="004E7D4B"/>
    <w:rsid w:val="004F03F7"/>
    <w:rsid w:val="004F2126"/>
    <w:rsid w:val="004F24EA"/>
    <w:rsid w:val="004F27DE"/>
    <w:rsid w:val="004F2EA7"/>
    <w:rsid w:val="004F383D"/>
    <w:rsid w:val="004F3A91"/>
    <w:rsid w:val="004F402B"/>
    <w:rsid w:val="004F438D"/>
    <w:rsid w:val="004F5908"/>
    <w:rsid w:val="004F5A1E"/>
    <w:rsid w:val="004F5BE8"/>
    <w:rsid w:val="004F70EE"/>
    <w:rsid w:val="004F746A"/>
    <w:rsid w:val="004F7F65"/>
    <w:rsid w:val="00500A65"/>
    <w:rsid w:val="00502CDC"/>
    <w:rsid w:val="00502D8F"/>
    <w:rsid w:val="00502E96"/>
    <w:rsid w:val="00504594"/>
    <w:rsid w:val="00504DAA"/>
    <w:rsid w:val="00504FD2"/>
    <w:rsid w:val="00505483"/>
    <w:rsid w:val="0050557A"/>
    <w:rsid w:val="00505B88"/>
    <w:rsid w:val="00506901"/>
    <w:rsid w:val="0050765F"/>
    <w:rsid w:val="005079FC"/>
    <w:rsid w:val="00507ECC"/>
    <w:rsid w:val="005105FF"/>
    <w:rsid w:val="00510BF5"/>
    <w:rsid w:val="00511CEA"/>
    <w:rsid w:val="005121B3"/>
    <w:rsid w:val="00513642"/>
    <w:rsid w:val="00513C45"/>
    <w:rsid w:val="0051486B"/>
    <w:rsid w:val="005151F7"/>
    <w:rsid w:val="005175F1"/>
    <w:rsid w:val="00520B59"/>
    <w:rsid w:val="00521C99"/>
    <w:rsid w:val="0052272E"/>
    <w:rsid w:val="00522BD5"/>
    <w:rsid w:val="0052336B"/>
    <w:rsid w:val="0052367F"/>
    <w:rsid w:val="00523AB5"/>
    <w:rsid w:val="005248DB"/>
    <w:rsid w:val="005256E9"/>
    <w:rsid w:val="00526B94"/>
    <w:rsid w:val="00526C64"/>
    <w:rsid w:val="00526E1B"/>
    <w:rsid w:val="00527DD0"/>
    <w:rsid w:val="00527F18"/>
    <w:rsid w:val="0053054E"/>
    <w:rsid w:val="00530F07"/>
    <w:rsid w:val="00531EFE"/>
    <w:rsid w:val="00532D00"/>
    <w:rsid w:val="00532DE7"/>
    <w:rsid w:val="0053305B"/>
    <w:rsid w:val="0053359A"/>
    <w:rsid w:val="00533971"/>
    <w:rsid w:val="00534505"/>
    <w:rsid w:val="0053581C"/>
    <w:rsid w:val="00536393"/>
    <w:rsid w:val="00536CD2"/>
    <w:rsid w:val="00537325"/>
    <w:rsid w:val="00537DF7"/>
    <w:rsid w:val="00540719"/>
    <w:rsid w:val="005411DD"/>
    <w:rsid w:val="005413C1"/>
    <w:rsid w:val="005422CE"/>
    <w:rsid w:val="00542744"/>
    <w:rsid w:val="00542A77"/>
    <w:rsid w:val="0054307B"/>
    <w:rsid w:val="005436DF"/>
    <w:rsid w:val="0054374D"/>
    <w:rsid w:val="00543B27"/>
    <w:rsid w:val="00544477"/>
    <w:rsid w:val="005445D6"/>
    <w:rsid w:val="00545028"/>
    <w:rsid w:val="005453C8"/>
    <w:rsid w:val="005456D9"/>
    <w:rsid w:val="00546068"/>
    <w:rsid w:val="0054739B"/>
    <w:rsid w:val="00547791"/>
    <w:rsid w:val="00547CD9"/>
    <w:rsid w:val="00550579"/>
    <w:rsid w:val="00550BB2"/>
    <w:rsid w:val="0055118A"/>
    <w:rsid w:val="00552653"/>
    <w:rsid w:val="005526A8"/>
    <w:rsid w:val="00552B5E"/>
    <w:rsid w:val="00552B62"/>
    <w:rsid w:val="0055317D"/>
    <w:rsid w:val="005539CA"/>
    <w:rsid w:val="00553BF3"/>
    <w:rsid w:val="00554156"/>
    <w:rsid w:val="00555491"/>
    <w:rsid w:val="00555B8B"/>
    <w:rsid w:val="00556359"/>
    <w:rsid w:val="005566AD"/>
    <w:rsid w:val="00556A7E"/>
    <w:rsid w:val="00556D87"/>
    <w:rsid w:val="00557220"/>
    <w:rsid w:val="00557A3D"/>
    <w:rsid w:val="00560EB7"/>
    <w:rsid w:val="00562C4C"/>
    <w:rsid w:val="005645F1"/>
    <w:rsid w:val="00565583"/>
    <w:rsid w:val="00566012"/>
    <w:rsid w:val="00566A47"/>
    <w:rsid w:val="00570C8B"/>
    <w:rsid w:val="00570D6E"/>
    <w:rsid w:val="00571A30"/>
    <w:rsid w:val="005756B1"/>
    <w:rsid w:val="00575752"/>
    <w:rsid w:val="00576328"/>
    <w:rsid w:val="00576336"/>
    <w:rsid w:val="00576367"/>
    <w:rsid w:val="00576B4C"/>
    <w:rsid w:val="00576DF8"/>
    <w:rsid w:val="0057720E"/>
    <w:rsid w:val="00580D7F"/>
    <w:rsid w:val="00581227"/>
    <w:rsid w:val="005817B3"/>
    <w:rsid w:val="00581F3D"/>
    <w:rsid w:val="00584490"/>
    <w:rsid w:val="0058477A"/>
    <w:rsid w:val="005850E5"/>
    <w:rsid w:val="00585F2B"/>
    <w:rsid w:val="00587232"/>
    <w:rsid w:val="00587258"/>
    <w:rsid w:val="0058725F"/>
    <w:rsid w:val="005873E5"/>
    <w:rsid w:val="00587604"/>
    <w:rsid w:val="00587801"/>
    <w:rsid w:val="005900B8"/>
    <w:rsid w:val="0059031E"/>
    <w:rsid w:val="005907AD"/>
    <w:rsid w:val="00591840"/>
    <w:rsid w:val="00592D99"/>
    <w:rsid w:val="0059432A"/>
    <w:rsid w:val="00594BFF"/>
    <w:rsid w:val="00595015"/>
    <w:rsid w:val="00595469"/>
    <w:rsid w:val="00595E11"/>
    <w:rsid w:val="00596856"/>
    <w:rsid w:val="005968ED"/>
    <w:rsid w:val="00596998"/>
    <w:rsid w:val="00596BDC"/>
    <w:rsid w:val="005971F7"/>
    <w:rsid w:val="005A0F7D"/>
    <w:rsid w:val="005A1CCA"/>
    <w:rsid w:val="005A289F"/>
    <w:rsid w:val="005A2C51"/>
    <w:rsid w:val="005A33AA"/>
    <w:rsid w:val="005A38C9"/>
    <w:rsid w:val="005A437B"/>
    <w:rsid w:val="005A451B"/>
    <w:rsid w:val="005A4D6E"/>
    <w:rsid w:val="005A5006"/>
    <w:rsid w:val="005A55F6"/>
    <w:rsid w:val="005A5A85"/>
    <w:rsid w:val="005A5CB0"/>
    <w:rsid w:val="005A6CAE"/>
    <w:rsid w:val="005A6DA6"/>
    <w:rsid w:val="005B0ABA"/>
    <w:rsid w:val="005B1996"/>
    <w:rsid w:val="005B2ADE"/>
    <w:rsid w:val="005B332F"/>
    <w:rsid w:val="005B349D"/>
    <w:rsid w:val="005B5BC3"/>
    <w:rsid w:val="005B5F76"/>
    <w:rsid w:val="005B747E"/>
    <w:rsid w:val="005B78A9"/>
    <w:rsid w:val="005B797F"/>
    <w:rsid w:val="005B7B19"/>
    <w:rsid w:val="005B7C6D"/>
    <w:rsid w:val="005C13BC"/>
    <w:rsid w:val="005C161F"/>
    <w:rsid w:val="005C2164"/>
    <w:rsid w:val="005C2B32"/>
    <w:rsid w:val="005C3C74"/>
    <w:rsid w:val="005C456C"/>
    <w:rsid w:val="005C4D07"/>
    <w:rsid w:val="005C700D"/>
    <w:rsid w:val="005C740A"/>
    <w:rsid w:val="005C7581"/>
    <w:rsid w:val="005C75AA"/>
    <w:rsid w:val="005C79E3"/>
    <w:rsid w:val="005D1651"/>
    <w:rsid w:val="005D1CCC"/>
    <w:rsid w:val="005D29C8"/>
    <w:rsid w:val="005D2D7A"/>
    <w:rsid w:val="005D3355"/>
    <w:rsid w:val="005D4648"/>
    <w:rsid w:val="005D5159"/>
    <w:rsid w:val="005D59C8"/>
    <w:rsid w:val="005D5B83"/>
    <w:rsid w:val="005D5E63"/>
    <w:rsid w:val="005D62F1"/>
    <w:rsid w:val="005D79F8"/>
    <w:rsid w:val="005E00AD"/>
    <w:rsid w:val="005E0146"/>
    <w:rsid w:val="005E0188"/>
    <w:rsid w:val="005E0DC2"/>
    <w:rsid w:val="005E0E30"/>
    <w:rsid w:val="005E14D6"/>
    <w:rsid w:val="005E1778"/>
    <w:rsid w:val="005E1E57"/>
    <w:rsid w:val="005E374E"/>
    <w:rsid w:val="005E414E"/>
    <w:rsid w:val="005E541F"/>
    <w:rsid w:val="005E5FA8"/>
    <w:rsid w:val="005E63AF"/>
    <w:rsid w:val="005F0933"/>
    <w:rsid w:val="005F149A"/>
    <w:rsid w:val="005F1DFD"/>
    <w:rsid w:val="005F2325"/>
    <w:rsid w:val="005F39F5"/>
    <w:rsid w:val="005F3E33"/>
    <w:rsid w:val="005F450D"/>
    <w:rsid w:val="005F4887"/>
    <w:rsid w:val="005F4E07"/>
    <w:rsid w:val="005F6120"/>
    <w:rsid w:val="005F6393"/>
    <w:rsid w:val="005F675C"/>
    <w:rsid w:val="005F771E"/>
    <w:rsid w:val="005F7B34"/>
    <w:rsid w:val="00600A66"/>
    <w:rsid w:val="00600F19"/>
    <w:rsid w:val="00601BEC"/>
    <w:rsid w:val="00602009"/>
    <w:rsid w:val="00604BA8"/>
    <w:rsid w:val="00605265"/>
    <w:rsid w:val="00605547"/>
    <w:rsid w:val="00605602"/>
    <w:rsid w:val="00605C37"/>
    <w:rsid w:val="0060614D"/>
    <w:rsid w:val="006068E4"/>
    <w:rsid w:val="00607BEE"/>
    <w:rsid w:val="00607C33"/>
    <w:rsid w:val="006101D8"/>
    <w:rsid w:val="00611B93"/>
    <w:rsid w:val="00611BE3"/>
    <w:rsid w:val="006122D8"/>
    <w:rsid w:val="00612DF7"/>
    <w:rsid w:val="00613795"/>
    <w:rsid w:val="00614171"/>
    <w:rsid w:val="00614AEE"/>
    <w:rsid w:val="00614FB0"/>
    <w:rsid w:val="006154C2"/>
    <w:rsid w:val="00615731"/>
    <w:rsid w:val="006175F9"/>
    <w:rsid w:val="006200E1"/>
    <w:rsid w:val="00620926"/>
    <w:rsid w:val="006212A3"/>
    <w:rsid w:val="0062272D"/>
    <w:rsid w:val="00622A1C"/>
    <w:rsid w:val="00622A2D"/>
    <w:rsid w:val="00624C82"/>
    <w:rsid w:val="00625A2E"/>
    <w:rsid w:val="00625C88"/>
    <w:rsid w:val="00626D80"/>
    <w:rsid w:val="0062700D"/>
    <w:rsid w:val="00627DAF"/>
    <w:rsid w:val="006307BC"/>
    <w:rsid w:val="006311E8"/>
    <w:rsid w:val="00631921"/>
    <w:rsid w:val="00631F67"/>
    <w:rsid w:val="00632047"/>
    <w:rsid w:val="00632C2D"/>
    <w:rsid w:val="006334DB"/>
    <w:rsid w:val="00634341"/>
    <w:rsid w:val="00634C1E"/>
    <w:rsid w:val="00634C3F"/>
    <w:rsid w:val="00634F7B"/>
    <w:rsid w:val="00634FB7"/>
    <w:rsid w:val="00635029"/>
    <w:rsid w:val="006352CA"/>
    <w:rsid w:val="00636D6A"/>
    <w:rsid w:val="006372D2"/>
    <w:rsid w:val="0063763E"/>
    <w:rsid w:val="00637B34"/>
    <w:rsid w:val="00637B6D"/>
    <w:rsid w:val="00640377"/>
    <w:rsid w:val="00640434"/>
    <w:rsid w:val="0064102A"/>
    <w:rsid w:val="0064169C"/>
    <w:rsid w:val="006421F1"/>
    <w:rsid w:val="0064297A"/>
    <w:rsid w:val="00643798"/>
    <w:rsid w:val="00646475"/>
    <w:rsid w:val="006475A0"/>
    <w:rsid w:val="00650184"/>
    <w:rsid w:val="006542E5"/>
    <w:rsid w:val="00654C24"/>
    <w:rsid w:val="0065504F"/>
    <w:rsid w:val="006556DD"/>
    <w:rsid w:val="00655CAD"/>
    <w:rsid w:val="00656996"/>
    <w:rsid w:val="006569A6"/>
    <w:rsid w:val="006575C5"/>
    <w:rsid w:val="006610A4"/>
    <w:rsid w:val="00661494"/>
    <w:rsid w:val="0066258E"/>
    <w:rsid w:val="00662E89"/>
    <w:rsid w:val="00663E44"/>
    <w:rsid w:val="006645BD"/>
    <w:rsid w:val="006656A2"/>
    <w:rsid w:val="00666054"/>
    <w:rsid w:val="00666EE0"/>
    <w:rsid w:val="006676EB"/>
    <w:rsid w:val="00667C30"/>
    <w:rsid w:val="006704A2"/>
    <w:rsid w:val="00670E12"/>
    <w:rsid w:val="006710A7"/>
    <w:rsid w:val="00671C11"/>
    <w:rsid w:val="00672117"/>
    <w:rsid w:val="00672600"/>
    <w:rsid w:val="00672CF6"/>
    <w:rsid w:val="006731FF"/>
    <w:rsid w:val="00673A08"/>
    <w:rsid w:val="00673A9C"/>
    <w:rsid w:val="00673D08"/>
    <w:rsid w:val="00674220"/>
    <w:rsid w:val="00674C66"/>
    <w:rsid w:val="00675773"/>
    <w:rsid w:val="006762E8"/>
    <w:rsid w:val="006768D7"/>
    <w:rsid w:val="00676A4C"/>
    <w:rsid w:val="00676D64"/>
    <w:rsid w:val="00677257"/>
    <w:rsid w:val="006775F5"/>
    <w:rsid w:val="0068134A"/>
    <w:rsid w:val="00681BE9"/>
    <w:rsid w:val="006823BA"/>
    <w:rsid w:val="00682847"/>
    <w:rsid w:val="00682877"/>
    <w:rsid w:val="00683477"/>
    <w:rsid w:val="00683791"/>
    <w:rsid w:val="00683C5F"/>
    <w:rsid w:val="00683D27"/>
    <w:rsid w:val="006848D1"/>
    <w:rsid w:val="00684C84"/>
    <w:rsid w:val="00686CBB"/>
    <w:rsid w:val="006905C1"/>
    <w:rsid w:val="006909AF"/>
    <w:rsid w:val="00691D71"/>
    <w:rsid w:val="00691EC9"/>
    <w:rsid w:val="00691F31"/>
    <w:rsid w:val="0069247A"/>
    <w:rsid w:val="0069304B"/>
    <w:rsid w:val="0069310E"/>
    <w:rsid w:val="00694109"/>
    <w:rsid w:val="00694A58"/>
    <w:rsid w:val="00694B44"/>
    <w:rsid w:val="006957AE"/>
    <w:rsid w:val="0069639A"/>
    <w:rsid w:val="0069698E"/>
    <w:rsid w:val="006A0735"/>
    <w:rsid w:val="006A21DD"/>
    <w:rsid w:val="006A3839"/>
    <w:rsid w:val="006A4C18"/>
    <w:rsid w:val="006A5363"/>
    <w:rsid w:val="006A653D"/>
    <w:rsid w:val="006A7F5F"/>
    <w:rsid w:val="006B00D9"/>
    <w:rsid w:val="006B0193"/>
    <w:rsid w:val="006B03EF"/>
    <w:rsid w:val="006B0DFF"/>
    <w:rsid w:val="006B13FC"/>
    <w:rsid w:val="006B1784"/>
    <w:rsid w:val="006B17E4"/>
    <w:rsid w:val="006B2447"/>
    <w:rsid w:val="006B2C3A"/>
    <w:rsid w:val="006B2CEB"/>
    <w:rsid w:val="006B31BD"/>
    <w:rsid w:val="006B50D8"/>
    <w:rsid w:val="006B56E5"/>
    <w:rsid w:val="006B6580"/>
    <w:rsid w:val="006B6A6B"/>
    <w:rsid w:val="006B6F5C"/>
    <w:rsid w:val="006B77BD"/>
    <w:rsid w:val="006B7F79"/>
    <w:rsid w:val="006C0EC5"/>
    <w:rsid w:val="006C1595"/>
    <w:rsid w:val="006C17AB"/>
    <w:rsid w:val="006C225C"/>
    <w:rsid w:val="006C2379"/>
    <w:rsid w:val="006C2702"/>
    <w:rsid w:val="006C3091"/>
    <w:rsid w:val="006C3674"/>
    <w:rsid w:val="006C6403"/>
    <w:rsid w:val="006C65CE"/>
    <w:rsid w:val="006C77C1"/>
    <w:rsid w:val="006D034E"/>
    <w:rsid w:val="006D03EC"/>
    <w:rsid w:val="006D0E32"/>
    <w:rsid w:val="006D1C30"/>
    <w:rsid w:val="006D46FD"/>
    <w:rsid w:val="006D4B2E"/>
    <w:rsid w:val="006D4B77"/>
    <w:rsid w:val="006D4DE2"/>
    <w:rsid w:val="006D4FC5"/>
    <w:rsid w:val="006D52AB"/>
    <w:rsid w:val="006D588A"/>
    <w:rsid w:val="006D6068"/>
    <w:rsid w:val="006D6631"/>
    <w:rsid w:val="006D6841"/>
    <w:rsid w:val="006D6AB4"/>
    <w:rsid w:val="006D791D"/>
    <w:rsid w:val="006E015B"/>
    <w:rsid w:val="006E071B"/>
    <w:rsid w:val="006E1426"/>
    <w:rsid w:val="006E1811"/>
    <w:rsid w:val="006E2B5C"/>
    <w:rsid w:val="006E2D00"/>
    <w:rsid w:val="006E358F"/>
    <w:rsid w:val="006E4213"/>
    <w:rsid w:val="006E457E"/>
    <w:rsid w:val="006E4E9E"/>
    <w:rsid w:val="006E508C"/>
    <w:rsid w:val="006E54E8"/>
    <w:rsid w:val="006E5824"/>
    <w:rsid w:val="006E5FA5"/>
    <w:rsid w:val="006E6EF0"/>
    <w:rsid w:val="006E6F72"/>
    <w:rsid w:val="006E7BDB"/>
    <w:rsid w:val="006E7DAE"/>
    <w:rsid w:val="006F328F"/>
    <w:rsid w:val="006F4524"/>
    <w:rsid w:val="006F4992"/>
    <w:rsid w:val="006F508D"/>
    <w:rsid w:val="006F54FD"/>
    <w:rsid w:val="006F6906"/>
    <w:rsid w:val="006F6B87"/>
    <w:rsid w:val="006F7A95"/>
    <w:rsid w:val="006F7DDD"/>
    <w:rsid w:val="006F7F80"/>
    <w:rsid w:val="00700021"/>
    <w:rsid w:val="00701504"/>
    <w:rsid w:val="00701B49"/>
    <w:rsid w:val="00701BAF"/>
    <w:rsid w:val="00702377"/>
    <w:rsid w:val="007029F9"/>
    <w:rsid w:val="00702AA3"/>
    <w:rsid w:val="00702CD6"/>
    <w:rsid w:val="00702DC3"/>
    <w:rsid w:val="00703E19"/>
    <w:rsid w:val="00703E96"/>
    <w:rsid w:val="00704069"/>
    <w:rsid w:val="00704258"/>
    <w:rsid w:val="00704FB6"/>
    <w:rsid w:val="007053C0"/>
    <w:rsid w:val="00705A3B"/>
    <w:rsid w:val="00705B4A"/>
    <w:rsid w:val="00705E99"/>
    <w:rsid w:val="00705EAD"/>
    <w:rsid w:val="00706885"/>
    <w:rsid w:val="00707006"/>
    <w:rsid w:val="00707208"/>
    <w:rsid w:val="007075C4"/>
    <w:rsid w:val="00707715"/>
    <w:rsid w:val="00707EF9"/>
    <w:rsid w:val="00710E5C"/>
    <w:rsid w:val="00710ECA"/>
    <w:rsid w:val="007114BE"/>
    <w:rsid w:val="007120E1"/>
    <w:rsid w:val="007125DA"/>
    <w:rsid w:val="00713459"/>
    <w:rsid w:val="007140D1"/>
    <w:rsid w:val="0071414C"/>
    <w:rsid w:val="0071434C"/>
    <w:rsid w:val="0071500E"/>
    <w:rsid w:val="00715BFF"/>
    <w:rsid w:val="007163F5"/>
    <w:rsid w:val="00716B5C"/>
    <w:rsid w:val="00716D49"/>
    <w:rsid w:val="007175DC"/>
    <w:rsid w:val="00717E9D"/>
    <w:rsid w:val="0072008C"/>
    <w:rsid w:val="007208FE"/>
    <w:rsid w:val="007212E6"/>
    <w:rsid w:val="00721FA2"/>
    <w:rsid w:val="00722176"/>
    <w:rsid w:val="007224EF"/>
    <w:rsid w:val="00722CBA"/>
    <w:rsid w:val="00722CF6"/>
    <w:rsid w:val="00722EA3"/>
    <w:rsid w:val="007235E5"/>
    <w:rsid w:val="0072391E"/>
    <w:rsid w:val="00723F42"/>
    <w:rsid w:val="00724CC2"/>
    <w:rsid w:val="00725455"/>
    <w:rsid w:val="0072574A"/>
    <w:rsid w:val="00725D9C"/>
    <w:rsid w:val="00726E35"/>
    <w:rsid w:val="00727048"/>
    <w:rsid w:val="00727A54"/>
    <w:rsid w:val="00730542"/>
    <w:rsid w:val="0073085B"/>
    <w:rsid w:val="00730D92"/>
    <w:rsid w:val="00730EA1"/>
    <w:rsid w:val="007318AE"/>
    <w:rsid w:val="00732332"/>
    <w:rsid w:val="0073268A"/>
    <w:rsid w:val="00733926"/>
    <w:rsid w:val="00733C8F"/>
    <w:rsid w:val="00733D0A"/>
    <w:rsid w:val="00734740"/>
    <w:rsid w:val="00734EB2"/>
    <w:rsid w:val="00735057"/>
    <w:rsid w:val="007353EB"/>
    <w:rsid w:val="00735961"/>
    <w:rsid w:val="0073599A"/>
    <w:rsid w:val="00736609"/>
    <w:rsid w:val="00736A6E"/>
    <w:rsid w:val="00737990"/>
    <w:rsid w:val="00737F60"/>
    <w:rsid w:val="00740212"/>
    <w:rsid w:val="00740601"/>
    <w:rsid w:val="0074060F"/>
    <w:rsid w:val="0074087E"/>
    <w:rsid w:val="007409DD"/>
    <w:rsid w:val="00740FD8"/>
    <w:rsid w:val="00741B19"/>
    <w:rsid w:val="00743CC4"/>
    <w:rsid w:val="00743DFC"/>
    <w:rsid w:val="007464A8"/>
    <w:rsid w:val="00746C99"/>
    <w:rsid w:val="00747066"/>
    <w:rsid w:val="007507F8"/>
    <w:rsid w:val="00750A40"/>
    <w:rsid w:val="00750DA5"/>
    <w:rsid w:val="0075110D"/>
    <w:rsid w:val="007519A8"/>
    <w:rsid w:val="00751C7D"/>
    <w:rsid w:val="00751C9C"/>
    <w:rsid w:val="00752421"/>
    <w:rsid w:val="00752B66"/>
    <w:rsid w:val="00752C47"/>
    <w:rsid w:val="00753580"/>
    <w:rsid w:val="00753FD6"/>
    <w:rsid w:val="0075586E"/>
    <w:rsid w:val="00755CA3"/>
    <w:rsid w:val="007575C8"/>
    <w:rsid w:val="007576F3"/>
    <w:rsid w:val="00757E4D"/>
    <w:rsid w:val="00761835"/>
    <w:rsid w:val="0076201E"/>
    <w:rsid w:val="00762B33"/>
    <w:rsid w:val="007639AF"/>
    <w:rsid w:val="00763EA0"/>
    <w:rsid w:val="00764181"/>
    <w:rsid w:val="0076474A"/>
    <w:rsid w:val="007647D5"/>
    <w:rsid w:val="00764C55"/>
    <w:rsid w:val="007659B0"/>
    <w:rsid w:val="00765CD5"/>
    <w:rsid w:val="00766834"/>
    <w:rsid w:val="00767482"/>
    <w:rsid w:val="00767E1D"/>
    <w:rsid w:val="0077071D"/>
    <w:rsid w:val="00770910"/>
    <w:rsid w:val="007709D8"/>
    <w:rsid w:val="00770A16"/>
    <w:rsid w:val="00771878"/>
    <w:rsid w:val="007719F0"/>
    <w:rsid w:val="00772B96"/>
    <w:rsid w:val="00772BB4"/>
    <w:rsid w:val="00774127"/>
    <w:rsid w:val="007741F1"/>
    <w:rsid w:val="007752A9"/>
    <w:rsid w:val="00776031"/>
    <w:rsid w:val="00776414"/>
    <w:rsid w:val="00776E73"/>
    <w:rsid w:val="00777763"/>
    <w:rsid w:val="00780066"/>
    <w:rsid w:val="00780B29"/>
    <w:rsid w:val="0078106F"/>
    <w:rsid w:val="007810C3"/>
    <w:rsid w:val="00782729"/>
    <w:rsid w:val="00782B37"/>
    <w:rsid w:val="00782E9F"/>
    <w:rsid w:val="0078306A"/>
    <w:rsid w:val="00783114"/>
    <w:rsid w:val="007832D2"/>
    <w:rsid w:val="007843D0"/>
    <w:rsid w:val="00784B29"/>
    <w:rsid w:val="00784CEC"/>
    <w:rsid w:val="007850CB"/>
    <w:rsid w:val="0078584D"/>
    <w:rsid w:val="007864F8"/>
    <w:rsid w:val="00787F9B"/>
    <w:rsid w:val="00790E6D"/>
    <w:rsid w:val="007924C9"/>
    <w:rsid w:val="00793DFB"/>
    <w:rsid w:val="007944DC"/>
    <w:rsid w:val="007956E6"/>
    <w:rsid w:val="00795B60"/>
    <w:rsid w:val="00795F86"/>
    <w:rsid w:val="007967B5"/>
    <w:rsid w:val="00796CCD"/>
    <w:rsid w:val="00796DB1"/>
    <w:rsid w:val="007A011A"/>
    <w:rsid w:val="007A11F0"/>
    <w:rsid w:val="007A26ED"/>
    <w:rsid w:val="007A2819"/>
    <w:rsid w:val="007A2C32"/>
    <w:rsid w:val="007A3CDF"/>
    <w:rsid w:val="007A56A8"/>
    <w:rsid w:val="007A576E"/>
    <w:rsid w:val="007A6343"/>
    <w:rsid w:val="007A6759"/>
    <w:rsid w:val="007A7420"/>
    <w:rsid w:val="007A7534"/>
    <w:rsid w:val="007A7C4E"/>
    <w:rsid w:val="007A7DAD"/>
    <w:rsid w:val="007B1851"/>
    <w:rsid w:val="007B18E3"/>
    <w:rsid w:val="007B1ED6"/>
    <w:rsid w:val="007B208B"/>
    <w:rsid w:val="007B28F5"/>
    <w:rsid w:val="007B2E71"/>
    <w:rsid w:val="007B3809"/>
    <w:rsid w:val="007B3819"/>
    <w:rsid w:val="007B38AA"/>
    <w:rsid w:val="007B3EE4"/>
    <w:rsid w:val="007B3FB7"/>
    <w:rsid w:val="007B46B0"/>
    <w:rsid w:val="007B4B5C"/>
    <w:rsid w:val="007B531F"/>
    <w:rsid w:val="007B5716"/>
    <w:rsid w:val="007B59AD"/>
    <w:rsid w:val="007B5B56"/>
    <w:rsid w:val="007B5D1D"/>
    <w:rsid w:val="007C089E"/>
    <w:rsid w:val="007C0D79"/>
    <w:rsid w:val="007C2846"/>
    <w:rsid w:val="007C2F30"/>
    <w:rsid w:val="007C39A3"/>
    <w:rsid w:val="007C3E35"/>
    <w:rsid w:val="007C551E"/>
    <w:rsid w:val="007C580A"/>
    <w:rsid w:val="007C5B9A"/>
    <w:rsid w:val="007C651E"/>
    <w:rsid w:val="007C6740"/>
    <w:rsid w:val="007C69D5"/>
    <w:rsid w:val="007C6BA7"/>
    <w:rsid w:val="007C6D14"/>
    <w:rsid w:val="007C7063"/>
    <w:rsid w:val="007C7802"/>
    <w:rsid w:val="007C7DBF"/>
    <w:rsid w:val="007D05A3"/>
    <w:rsid w:val="007D20A2"/>
    <w:rsid w:val="007D2B1F"/>
    <w:rsid w:val="007D32CC"/>
    <w:rsid w:val="007D3363"/>
    <w:rsid w:val="007D575D"/>
    <w:rsid w:val="007D6E27"/>
    <w:rsid w:val="007E00BC"/>
    <w:rsid w:val="007E030D"/>
    <w:rsid w:val="007E06C9"/>
    <w:rsid w:val="007E1073"/>
    <w:rsid w:val="007E11AB"/>
    <w:rsid w:val="007E13FB"/>
    <w:rsid w:val="007E18B1"/>
    <w:rsid w:val="007E1E3A"/>
    <w:rsid w:val="007E2B38"/>
    <w:rsid w:val="007E2DC5"/>
    <w:rsid w:val="007E3986"/>
    <w:rsid w:val="007E3CC8"/>
    <w:rsid w:val="007E3FD3"/>
    <w:rsid w:val="007E4223"/>
    <w:rsid w:val="007E4944"/>
    <w:rsid w:val="007E5803"/>
    <w:rsid w:val="007E5975"/>
    <w:rsid w:val="007E6431"/>
    <w:rsid w:val="007E7037"/>
    <w:rsid w:val="007E7B19"/>
    <w:rsid w:val="007E7B8E"/>
    <w:rsid w:val="007F00F1"/>
    <w:rsid w:val="007F0531"/>
    <w:rsid w:val="007F08B9"/>
    <w:rsid w:val="007F09DE"/>
    <w:rsid w:val="007F239B"/>
    <w:rsid w:val="007F24D7"/>
    <w:rsid w:val="007F355C"/>
    <w:rsid w:val="007F432C"/>
    <w:rsid w:val="007F49AE"/>
    <w:rsid w:val="007F4D41"/>
    <w:rsid w:val="007F6049"/>
    <w:rsid w:val="007F6085"/>
    <w:rsid w:val="007F679E"/>
    <w:rsid w:val="007F6914"/>
    <w:rsid w:val="007F762D"/>
    <w:rsid w:val="008007D7"/>
    <w:rsid w:val="00800E75"/>
    <w:rsid w:val="00802E59"/>
    <w:rsid w:val="00803976"/>
    <w:rsid w:val="00803C2B"/>
    <w:rsid w:val="0080558F"/>
    <w:rsid w:val="00806F3C"/>
    <w:rsid w:val="0081024A"/>
    <w:rsid w:val="008108F8"/>
    <w:rsid w:val="00810AF5"/>
    <w:rsid w:val="00810DCD"/>
    <w:rsid w:val="008124A9"/>
    <w:rsid w:val="00812933"/>
    <w:rsid w:val="00812A95"/>
    <w:rsid w:val="00814244"/>
    <w:rsid w:val="0081475B"/>
    <w:rsid w:val="00814857"/>
    <w:rsid w:val="00815201"/>
    <w:rsid w:val="00816D51"/>
    <w:rsid w:val="008176B5"/>
    <w:rsid w:val="008216A2"/>
    <w:rsid w:val="008219CA"/>
    <w:rsid w:val="00821F6A"/>
    <w:rsid w:val="008233A0"/>
    <w:rsid w:val="008238B9"/>
    <w:rsid w:val="0082441B"/>
    <w:rsid w:val="00826C31"/>
    <w:rsid w:val="00826F7A"/>
    <w:rsid w:val="00831F98"/>
    <w:rsid w:val="00831FD8"/>
    <w:rsid w:val="00832007"/>
    <w:rsid w:val="008330CC"/>
    <w:rsid w:val="00833BED"/>
    <w:rsid w:val="00833D2E"/>
    <w:rsid w:val="00834A47"/>
    <w:rsid w:val="00834BB2"/>
    <w:rsid w:val="00835595"/>
    <w:rsid w:val="008357F4"/>
    <w:rsid w:val="00835AD5"/>
    <w:rsid w:val="00840169"/>
    <w:rsid w:val="00840BDE"/>
    <w:rsid w:val="008423D3"/>
    <w:rsid w:val="00842E8E"/>
    <w:rsid w:val="008438BC"/>
    <w:rsid w:val="00847ABE"/>
    <w:rsid w:val="008505EE"/>
    <w:rsid w:val="00850BFB"/>
    <w:rsid w:val="00852520"/>
    <w:rsid w:val="00852EBE"/>
    <w:rsid w:val="008549DD"/>
    <w:rsid w:val="0085608B"/>
    <w:rsid w:val="00856385"/>
    <w:rsid w:val="00856F28"/>
    <w:rsid w:val="00857EF3"/>
    <w:rsid w:val="00860281"/>
    <w:rsid w:val="0086132F"/>
    <w:rsid w:val="008615F2"/>
    <w:rsid w:val="00861D7C"/>
    <w:rsid w:val="00862028"/>
    <w:rsid w:val="00862DE1"/>
    <w:rsid w:val="0086302F"/>
    <w:rsid w:val="0086356F"/>
    <w:rsid w:val="00863AF2"/>
    <w:rsid w:val="00864CCB"/>
    <w:rsid w:val="0086575D"/>
    <w:rsid w:val="00865EA6"/>
    <w:rsid w:val="00865F75"/>
    <w:rsid w:val="008668A0"/>
    <w:rsid w:val="00866C93"/>
    <w:rsid w:val="0087081F"/>
    <w:rsid w:val="00870AE7"/>
    <w:rsid w:val="00870DBB"/>
    <w:rsid w:val="00871620"/>
    <w:rsid w:val="00871796"/>
    <w:rsid w:val="00872191"/>
    <w:rsid w:val="00872244"/>
    <w:rsid w:val="008726D9"/>
    <w:rsid w:val="008727D1"/>
    <w:rsid w:val="00873027"/>
    <w:rsid w:val="00873CA3"/>
    <w:rsid w:val="00873FE9"/>
    <w:rsid w:val="00874383"/>
    <w:rsid w:val="00874C76"/>
    <w:rsid w:val="00875245"/>
    <w:rsid w:val="00875918"/>
    <w:rsid w:val="00876A6C"/>
    <w:rsid w:val="008808E2"/>
    <w:rsid w:val="00880923"/>
    <w:rsid w:val="00880B48"/>
    <w:rsid w:val="00880C55"/>
    <w:rsid w:val="00880DD9"/>
    <w:rsid w:val="00881184"/>
    <w:rsid w:val="00881220"/>
    <w:rsid w:val="00882D73"/>
    <w:rsid w:val="00882FCB"/>
    <w:rsid w:val="008831F6"/>
    <w:rsid w:val="0088513F"/>
    <w:rsid w:val="0088547C"/>
    <w:rsid w:val="0088576D"/>
    <w:rsid w:val="0088577E"/>
    <w:rsid w:val="00885C0B"/>
    <w:rsid w:val="00885DC9"/>
    <w:rsid w:val="00885F75"/>
    <w:rsid w:val="0088644E"/>
    <w:rsid w:val="008869B4"/>
    <w:rsid w:val="00886C03"/>
    <w:rsid w:val="008905B8"/>
    <w:rsid w:val="00890931"/>
    <w:rsid w:val="00890C44"/>
    <w:rsid w:val="008916A0"/>
    <w:rsid w:val="00891867"/>
    <w:rsid w:val="00891A7E"/>
    <w:rsid w:val="008948DB"/>
    <w:rsid w:val="008957FA"/>
    <w:rsid w:val="008960DF"/>
    <w:rsid w:val="00896412"/>
    <w:rsid w:val="0089713A"/>
    <w:rsid w:val="0089787A"/>
    <w:rsid w:val="008A1B4C"/>
    <w:rsid w:val="008A3973"/>
    <w:rsid w:val="008A43BC"/>
    <w:rsid w:val="008A571C"/>
    <w:rsid w:val="008A5A83"/>
    <w:rsid w:val="008A5DE3"/>
    <w:rsid w:val="008A6935"/>
    <w:rsid w:val="008A6A40"/>
    <w:rsid w:val="008B01D6"/>
    <w:rsid w:val="008B10BF"/>
    <w:rsid w:val="008B10F7"/>
    <w:rsid w:val="008B11EB"/>
    <w:rsid w:val="008B18C3"/>
    <w:rsid w:val="008B2A8C"/>
    <w:rsid w:val="008B4882"/>
    <w:rsid w:val="008B6D59"/>
    <w:rsid w:val="008B70C4"/>
    <w:rsid w:val="008C06D5"/>
    <w:rsid w:val="008C0F86"/>
    <w:rsid w:val="008C110E"/>
    <w:rsid w:val="008C1720"/>
    <w:rsid w:val="008C1A2C"/>
    <w:rsid w:val="008C1D0D"/>
    <w:rsid w:val="008C25D1"/>
    <w:rsid w:val="008C2A86"/>
    <w:rsid w:val="008C5019"/>
    <w:rsid w:val="008C6BA4"/>
    <w:rsid w:val="008C6C84"/>
    <w:rsid w:val="008C7096"/>
    <w:rsid w:val="008C727F"/>
    <w:rsid w:val="008C783B"/>
    <w:rsid w:val="008D099D"/>
    <w:rsid w:val="008D0AF2"/>
    <w:rsid w:val="008D0E19"/>
    <w:rsid w:val="008D0F87"/>
    <w:rsid w:val="008D11DC"/>
    <w:rsid w:val="008D19BF"/>
    <w:rsid w:val="008D302B"/>
    <w:rsid w:val="008D3A16"/>
    <w:rsid w:val="008D45DB"/>
    <w:rsid w:val="008D4AD8"/>
    <w:rsid w:val="008D5D9B"/>
    <w:rsid w:val="008D6414"/>
    <w:rsid w:val="008D6B2D"/>
    <w:rsid w:val="008D7FD0"/>
    <w:rsid w:val="008E079C"/>
    <w:rsid w:val="008E08CF"/>
    <w:rsid w:val="008E0B56"/>
    <w:rsid w:val="008E0C5F"/>
    <w:rsid w:val="008E1291"/>
    <w:rsid w:val="008E1A17"/>
    <w:rsid w:val="008E31A8"/>
    <w:rsid w:val="008E3273"/>
    <w:rsid w:val="008E4F39"/>
    <w:rsid w:val="008E58B6"/>
    <w:rsid w:val="008E5C04"/>
    <w:rsid w:val="008E620F"/>
    <w:rsid w:val="008E690D"/>
    <w:rsid w:val="008E7299"/>
    <w:rsid w:val="008E7AD9"/>
    <w:rsid w:val="008F15D5"/>
    <w:rsid w:val="008F179B"/>
    <w:rsid w:val="008F18E7"/>
    <w:rsid w:val="008F203B"/>
    <w:rsid w:val="008F22BC"/>
    <w:rsid w:val="008F232C"/>
    <w:rsid w:val="008F23F4"/>
    <w:rsid w:val="008F57D0"/>
    <w:rsid w:val="008F593D"/>
    <w:rsid w:val="008F629C"/>
    <w:rsid w:val="008F6554"/>
    <w:rsid w:val="008F69B3"/>
    <w:rsid w:val="008F71BF"/>
    <w:rsid w:val="008F7603"/>
    <w:rsid w:val="00900160"/>
    <w:rsid w:val="00901B90"/>
    <w:rsid w:val="009022B0"/>
    <w:rsid w:val="00903328"/>
    <w:rsid w:val="00903D60"/>
    <w:rsid w:val="009044A0"/>
    <w:rsid w:val="00904CD7"/>
    <w:rsid w:val="00905455"/>
    <w:rsid w:val="00905AC2"/>
    <w:rsid w:val="00905EBD"/>
    <w:rsid w:val="009073C0"/>
    <w:rsid w:val="0090789B"/>
    <w:rsid w:val="00907EB4"/>
    <w:rsid w:val="00911A9E"/>
    <w:rsid w:val="00911DFE"/>
    <w:rsid w:val="0091239B"/>
    <w:rsid w:val="0091422F"/>
    <w:rsid w:val="00914276"/>
    <w:rsid w:val="00915A73"/>
    <w:rsid w:val="0091673B"/>
    <w:rsid w:val="00916747"/>
    <w:rsid w:val="0091682A"/>
    <w:rsid w:val="00917E26"/>
    <w:rsid w:val="00917E44"/>
    <w:rsid w:val="00920267"/>
    <w:rsid w:val="0092044E"/>
    <w:rsid w:val="00920DBB"/>
    <w:rsid w:val="00922A75"/>
    <w:rsid w:val="00922B25"/>
    <w:rsid w:val="00923102"/>
    <w:rsid w:val="00924772"/>
    <w:rsid w:val="00925564"/>
    <w:rsid w:val="00925589"/>
    <w:rsid w:val="00926618"/>
    <w:rsid w:val="0093073E"/>
    <w:rsid w:val="00930D90"/>
    <w:rsid w:val="00930E3A"/>
    <w:rsid w:val="00931D4F"/>
    <w:rsid w:val="009332E8"/>
    <w:rsid w:val="00933CF0"/>
    <w:rsid w:val="00934C55"/>
    <w:rsid w:val="0093520B"/>
    <w:rsid w:val="00935BCD"/>
    <w:rsid w:val="00937563"/>
    <w:rsid w:val="00940463"/>
    <w:rsid w:val="00941CD9"/>
    <w:rsid w:val="0094227D"/>
    <w:rsid w:val="00942322"/>
    <w:rsid w:val="00942420"/>
    <w:rsid w:val="0094291C"/>
    <w:rsid w:val="00942FF1"/>
    <w:rsid w:val="00943294"/>
    <w:rsid w:val="00944E82"/>
    <w:rsid w:val="00947493"/>
    <w:rsid w:val="009475FB"/>
    <w:rsid w:val="00950B6E"/>
    <w:rsid w:val="00952157"/>
    <w:rsid w:val="009528AB"/>
    <w:rsid w:val="00952DEB"/>
    <w:rsid w:val="00953DFA"/>
    <w:rsid w:val="00953F3B"/>
    <w:rsid w:val="00954311"/>
    <w:rsid w:val="00955944"/>
    <w:rsid w:val="00955E19"/>
    <w:rsid w:val="00956F74"/>
    <w:rsid w:val="00957252"/>
    <w:rsid w:val="00960156"/>
    <w:rsid w:val="00960515"/>
    <w:rsid w:val="00961613"/>
    <w:rsid w:val="009620AB"/>
    <w:rsid w:val="00962590"/>
    <w:rsid w:val="00962597"/>
    <w:rsid w:val="0096268D"/>
    <w:rsid w:val="00962F4C"/>
    <w:rsid w:val="0096352C"/>
    <w:rsid w:val="0096386F"/>
    <w:rsid w:val="00963B8E"/>
    <w:rsid w:val="00963B8F"/>
    <w:rsid w:val="009643A5"/>
    <w:rsid w:val="0096550F"/>
    <w:rsid w:val="0096557B"/>
    <w:rsid w:val="00966424"/>
    <w:rsid w:val="009674C0"/>
    <w:rsid w:val="00967AF6"/>
    <w:rsid w:val="00970D23"/>
    <w:rsid w:val="0097158E"/>
    <w:rsid w:val="00971B27"/>
    <w:rsid w:val="00971E58"/>
    <w:rsid w:val="00971EF7"/>
    <w:rsid w:val="009733B6"/>
    <w:rsid w:val="00973407"/>
    <w:rsid w:val="0097349E"/>
    <w:rsid w:val="009736AC"/>
    <w:rsid w:val="00973B9B"/>
    <w:rsid w:val="00973F7F"/>
    <w:rsid w:val="009744C6"/>
    <w:rsid w:val="009744D2"/>
    <w:rsid w:val="00975767"/>
    <w:rsid w:val="00975E50"/>
    <w:rsid w:val="00976CC6"/>
    <w:rsid w:val="00977D8D"/>
    <w:rsid w:val="00977E9D"/>
    <w:rsid w:val="00977EFC"/>
    <w:rsid w:val="0098011E"/>
    <w:rsid w:val="00980135"/>
    <w:rsid w:val="00983256"/>
    <w:rsid w:val="0098375A"/>
    <w:rsid w:val="009840A4"/>
    <w:rsid w:val="00984989"/>
    <w:rsid w:val="00984A48"/>
    <w:rsid w:val="00985931"/>
    <w:rsid w:val="009873DD"/>
    <w:rsid w:val="00987D95"/>
    <w:rsid w:val="00987E10"/>
    <w:rsid w:val="00987E8A"/>
    <w:rsid w:val="009916F1"/>
    <w:rsid w:val="00991728"/>
    <w:rsid w:val="00991AD5"/>
    <w:rsid w:val="009921DC"/>
    <w:rsid w:val="009925BF"/>
    <w:rsid w:val="00992EAD"/>
    <w:rsid w:val="00992F2F"/>
    <w:rsid w:val="00993AEC"/>
    <w:rsid w:val="0099563A"/>
    <w:rsid w:val="00995D0D"/>
    <w:rsid w:val="009961CE"/>
    <w:rsid w:val="009964DA"/>
    <w:rsid w:val="00996CFB"/>
    <w:rsid w:val="00997917"/>
    <w:rsid w:val="00997F48"/>
    <w:rsid w:val="009A1B7C"/>
    <w:rsid w:val="009A26EE"/>
    <w:rsid w:val="009A298A"/>
    <w:rsid w:val="009A315B"/>
    <w:rsid w:val="009A3AA8"/>
    <w:rsid w:val="009A3AFD"/>
    <w:rsid w:val="009A3D58"/>
    <w:rsid w:val="009A4EDE"/>
    <w:rsid w:val="009A50F1"/>
    <w:rsid w:val="009A56CC"/>
    <w:rsid w:val="009A61D6"/>
    <w:rsid w:val="009B0652"/>
    <w:rsid w:val="009B0856"/>
    <w:rsid w:val="009B1579"/>
    <w:rsid w:val="009B18F3"/>
    <w:rsid w:val="009B1BF2"/>
    <w:rsid w:val="009B1D62"/>
    <w:rsid w:val="009B2B4A"/>
    <w:rsid w:val="009B2F80"/>
    <w:rsid w:val="009B3BB2"/>
    <w:rsid w:val="009B4804"/>
    <w:rsid w:val="009B4CAB"/>
    <w:rsid w:val="009B58B2"/>
    <w:rsid w:val="009B58D3"/>
    <w:rsid w:val="009B7BB9"/>
    <w:rsid w:val="009C0039"/>
    <w:rsid w:val="009C063F"/>
    <w:rsid w:val="009C09BD"/>
    <w:rsid w:val="009C0E36"/>
    <w:rsid w:val="009C1996"/>
    <w:rsid w:val="009C19FE"/>
    <w:rsid w:val="009C3913"/>
    <w:rsid w:val="009C3DCC"/>
    <w:rsid w:val="009C44DC"/>
    <w:rsid w:val="009C5181"/>
    <w:rsid w:val="009C5446"/>
    <w:rsid w:val="009C56AD"/>
    <w:rsid w:val="009C5A80"/>
    <w:rsid w:val="009C63A0"/>
    <w:rsid w:val="009C68AD"/>
    <w:rsid w:val="009C6CF0"/>
    <w:rsid w:val="009C7333"/>
    <w:rsid w:val="009C7CD3"/>
    <w:rsid w:val="009D0B78"/>
    <w:rsid w:val="009D2454"/>
    <w:rsid w:val="009D2B78"/>
    <w:rsid w:val="009D3780"/>
    <w:rsid w:val="009D49D7"/>
    <w:rsid w:val="009D542F"/>
    <w:rsid w:val="009D5465"/>
    <w:rsid w:val="009D5C97"/>
    <w:rsid w:val="009D6022"/>
    <w:rsid w:val="009E0916"/>
    <w:rsid w:val="009E0C66"/>
    <w:rsid w:val="009E1601"/>
    <w:rsid w:val="009E1695"/>
    <w:rsid w:val="009E1DAC"/>
    <w:rsid w:val="009E27C1"/>
    <w:rsid w:val="009E27F9"/>
    <w:rsid w:val="009E2F46"/>
    <w:rsid w:val="009E55EE"/>
    <w:rsid w:val="009E5B84"/>
    <w:rsid w:val="009E7DDA"/>
    <w:rsid w:val="009E7FF4"/>
    <w:rsid w:val="009F0307"/>
    <w:rsid w:val="009F0EA9"/>
    <w:rsid w:val="009F0FE2"/>
    <w:rsid w:val="009F1AB2"/>
    <w:rsid w:val="009F1E36"/>
    <w:rsid w:val="009F20B5"/>
    <w:rsid w:val="009F23F7"/>
    <w:rsid w:val="009F42B0"/>
    <w:rsid w:val="009F464C"/>
    <w:rsid w:val="009F47F0"/>
    <w:rsid w:val="009F55E4"/>
    <w:rsid w:val="009F5859"/>
    <w:rsid w:val="009F58BD"/>
    <w:rsid w:val="009F5BD4"/>
    <w:rsid w:val="009F5E81"/>
    <w:rsid w:val="009F66E1"/>
    <w:rsid w:val="009F6CAA"/>
    <w:rsid w:val="009F6F83"/>
    <w:rsid w:val="009F7244"/>
    <w:rsid w:val="009F763C"/>
    <w:rsid w:val="00A00242"/>
    <w:rsid w:val="00A003C7"/>
    <w:rsid w:val="00A00C1C"/>
    <w:rsid w:val="00A0124B"/>
    <w:rsid w:val="00A02823"/>
    <w:rsid w:val="00A05540"/>
    <w:rsid w:val="00A06084"/>
    <w:rsid w:val="00A07167"/>
    <w:rsid w:val="00A079D2"/>
    <w:rsid w:val="00A11D07"/>
    <w:rsid w:val="00A12045"/>
    <w:rsid w:val="00A120D9"/>
    <w:rsid w:val="00A1277D"/>
    <w:rsid w:val="00A14326"/>
    <w:rsid w:val="00A145BA"/>
    <w:rsid w:val="00A145CA"/>
    <w:rsid w:val="00A14BD9"/>
    <w:rsid w:val="00A14D01"/>
    <w:rsid w:val="00A15312"/>
    <w:rsid w:val="00A155F1"/>
    <w:rsid w:val="00A15650"/>
    <w:rsid w:val="00A177AE"/>
    <w:rsid w:val="00A17B1E"/>
    <w:rsid w:val="00A20297"/>
    <w:rsid w:val="00A206DE"/>
    <w:rsid w:val="00A215EF"/>
    <w:rsid w:val="00A2361C"/>
    <w:rsid w:val="00A2400D"/>
    <w:rsid w:val="00A244A1"/>
    <w:rsid w:val="00A245BF"/>
    <w:rsid w:val="00A248A9"/>
    <w:rsid w:val="00A257BC"/>
    <w:rsid w:val="00A26467"/>
    <w:rsid w:val="00A27008"/>
    <w:rsid w:val="00A27687"/>
    <w:rsid w:val="00A30A2C"/>
    <w:rsid w:val="00A31793"/>
    <w:rsid w:val="00A321C5"/>
    <w:rsid w:val="00A33345"/>
    <w:rsid w:val="00A33EF9"/>
    <w:rsid w:val="00A350A4"/>
    <w:rsid w:val="00A355B1"/>
    <w:rsid w:val="00A36272"/>
    <w:rsid w:val="00A36991"/>
    <w:rsid w:val="00A373F9"/>
    <w:rsid w:val="00A37ABA"/>
    <w:rsid w:val="00A4004D"/>
    <w:rsid w:val="00A400ED"/>
    <w:rsid w:val="00A40668"/>
    <w:rsid w:val="00A41111"/>
    <w:rsid w:val="00A41E33"/>
    <w:rsid w:val="00A42255"/>
    <w:rsid w:val="00A44B69"/>
    <w:rsid w:val="00A45F37"/>
    <w:rsid w:val="00A45F57"/>
    <w:rsid w:val="00A47588"/>
    <w:rsid w:val="00A47E52"/>
    <w:rsid w:val="00A50CD1"/>
    <w:rsid w:val="00A51117"/>
    <w:rsid w:val="00A51EE0"/>
    <w:rsid w:val="00A5218F"/>
    <w:rsid w:val="00A5226F"/>
    <w:rsid w:val="00A524C1"/>
    <w:rsid w:val="00A52808"/>
    <w:rsid w:val="00A529C4"/>
    <w:rsid w:val="00A53157"/>
    <w:rsid w:val="00A5328B"/>
    <w:rsid w:val="00A54218"/>
    <w:rsid w:val="00A5572B"/>
    <w:rsid w:val="00A55AA8"/>
    <w:rsid w:val="00A56DB9"/>
    <w:rsid w:val="00A56F44"/>
    <w:rsid w:val="00A57545"/>
    <w:rsid w:val="00A57AC6"/>
    <w:rsid w:val="00A6012E"/>
    <w:rsid w:val="00A6079F"/>
    <w:rsid w:val="00A60ACA"/>
    <w:rsid w:val="00A61207"/>
    <w:rsid w:val="00A613DF"/>
    <w:rsid w:val="00A624C6"/>
    <w:rsid w:val="00A62723"/>
    <w:rsid w:val="00A627B1"/>
    <w:rsid w:val="00A64862"/>
    <w:rsid w:val="00A64A4C"/>
    <w:rsid w:val="00A6586B"/>
    <w:rsid w:val="00A66AB8"/>
    <w:rsid w:val="00A66EA2"/>
    <w:rsid w:val="00A67EB4"/>
    <w:rsid w:val="00A7079F"/>
    <w:rsid w:val="00A70F1D"/>
    <w:rsid w:val="00A71144"/>
    <w:rsid w:val="00A73349"/>
    <w:rsid w:val="00A73A10"/>
    <w:rsid w:val="00A73E42"/>
    <w:rsid w:val="00A74BC7"/>
    <w:rsid w:val="00A74E3B"/>
    <w:rsid w:val="00A7515D"/>
    <w:rsid w:val="00A75F65"/>
    <w:rsid w:val="00A7607E"/>
    <w:rsid w:val="00A771AD"/>
    <w:rsid w:val="00A802F0"/>
    <w:rsid w:val="00A80CD1"/>
    <w:rsid w:val="00A81329"/>
    <w:rsid w:val="00A8167F"/>
    <w:rsid w:val="00A81B95"/>
    <w:rsid w:val="00A82038"/>
    <w:rsid w:val="00A82C7E"/>
    <w:rsid w:val="00A84207"/>
    <w:rsid w:val="00A850C7"/>
    <w:rsid w:val="00A85EC6"/>
    <w:rsid w:val="00A8658D"/>
    <w:rsid w:val="00A87868"/>
    <w:rsid w:val="00A87A40"/>
    <w:rsid w:val="00A9061C"/>
    <w:rsid w:val="00A90C97"/>
    <w:rsid w:val="00A9233B"/>
    <w:rsid w:val="00A92656"/>
    <w:rsid w:val="00A92D2B"/>
    <w:rsid w:val="00A9332F"/>
    <w:rsid w:val="00A93BDB"/>
    <w:rsid w:val="00A94563"/>
    <w:rsid w:val="00A959A6"/>
    <w:rsid w:val="00AA0D44"/>
    <w:rsid w:val="00AA1752"/>
    <w:rsid w:val="00AA1992"/>
    <w:rsid w:val="00AA22A7"/>
    <w:rsid w:val="00AA321B"/>
    <w:rsid w:val="00AA3EB7"/>
    <w:rsid w:val="00AA45F7"/>
    <w:rsid w:val="00AA579E"/>
    <w:rsid w:val="00AA607E"/>
    <w:rsid w:val="00AA64BC"/>
    <w:rsid w:val="00AA6822"/>
    <w:rsid w:val="00AA79BE"/>
    <w:rsid w:val="00AA7A73"/>
    <w:rsid w:val="00AB0539"/>
    <w:rsid w:val="00AB0580"/>
    <w:rsid w:val="00AB08C0"/>
    <w:rsid w:val="00AB09BC"/>
    <w:rsid w:val="00AB1203"/>
    <w:rsid w:val="00AB1D4F"/>
    <w:rsid w:val="00AB3A1D"/>
    <w:rsid w:val="00AB3D24"/>
    <w:rsid w:val="00AB43A7"/>
    <w:rsid w:val="00AB4521"/>
    <w:rsid w:val="00AB4FA3"/>
    <w:rsid w:val="00AB5003"/>
    <w:rsid w:val="00AB533A"/>
    <w:rsid w:val="00AB561C"/>
    <w:rsid w:val="00AB5992"/>
    <w:rsid w:val="00AB5F2C"/>
    <w:rsid w:val="00AB60F3"/>
    <w:rsid w:val="00AB66ED"/>
    <w:rsid w:val="00AB73D3"/>
    <w:rsid w:val="00AC014E"/>
    <w:rsid w:val="00AC1183"/>
    <w:rsid w:val="00AC11A5"/>
    <w:rsid w:val="00AC11E3"/>
    <w:rsid w:val="00AC26EF"/>
    <w:rsid w:val="00AC36D0"/>
    <w:rsid w:val="00AC36F0"/>
    <w:rsid w:val="00AC3F4B"/>
    <w:rsid w:val="00AC41B0"/>
    <w:rsid w:val="00AC45BE"/>
    <w:rsid w:val="00AC4A45"/>
    <w:rsid w:val="00AC5D85"/>
    <w:rsid w:val="00AC6AC2"/>
    <w:rsid w:val="00AC6AF8"/>
    <w:rsid w:val="00AD0884"/>
    <w:rsid w:val="00AD0B57"/>
    <w:rsid w:val="00AD15DD"/>
    <w:rsid w:val="00AD2353"/>
    <w:rsid w:val="00AD2B34"/>
    <w:rsid w:val="00AD2E55"/>
    <w:rsid w:val="00AD49A2"/>
    <w:rsid w:val="00AD4ADE"/>
    <w:rsid w:val="00AD55BC"/>
    <w:rsid w:val="00AD5D6D"/>
    <w:rsid w:val="00AD68D3"/>
    <w:rsid w:val="00AD6AA4"/>
    <w:rsid w:val="00AD7752"/>
    <w:rsid w:val="00AD7DEB"/>
    <w:rsid w:val="00AE0602"/>
    <w:rsid w:val="00AE0F28"/>
    <w:rsid w:val="00AE1511"/>
    <w:rsid w:val="00AE1687"/>
    <w:rsid w:val="00AE2031"/>
    <w:rsid w:val="00AE33C2"/>
    <w:rsid w:val="00AE3A3A"/>
    <w:rsid w:val="00AE4E94"/>
    <w:rsid w:val="00AE61C2"/>
    <w:rsid w:val="00AE6279"/>
    <w:rsid w:val="00AE6AD3"/>
    <w:rsid w:val="00AF0F3F"/>
    <w:rsid w:val="00AF18A4"/>
    <w:rsid w:val="00AF2AA0"/>
    <w:rsid w:val="00AF3423"/>
    <w:rsid w:val="00AF3DFC"/>
    <w:rsid w:val="00AF4BB0"/>
    <w:rsid w:val="00AF5626"/>
    <w:rsid w:val="00AF5A17"/>
    <w:rsid w:val="00AF5C1C"/>
    <w:rsid w:val="00AF6099"/>
    <w:rsid w:val="00AF6FE8"/>
    <w:rsid w:val="00B0142F"/>
    <w:rsid w:val="00B01B91"/>
    <w:rsid w:val="00B01CF4"/>
    <w:rsid w:val="00B023A7"/>
    <w:rsid w:val="00B02A84"/>
    <w:rsid w:val="00B02EFD"/>
    <w:rsid w:val="00B036E8"/>
    <w:rsid w:val="00B0379B"/>
    <w:rsid w:val="00B03A48"/>
    <w:rsid w:val="00B05228"/>
    <w:rsid w:val="00B0540B"/>
    <w:rsid w:val="00B074AC"/>
    <w:rsid w:val="00B07A4D"/>
    <w:rsid w:val="00B07B8B"/>
    <w:rsid w:val="00B07DCE"/>
    <w:rsid w:val="00B10120"/>
    <w:rsid w:val="00B10B46"/>
    <w:rsid w:val="00B11207"/>
    <w:rsid w:val="00B1160F"/>
    <w:rsid w:val="00B11A1E"/>
    <w:rsid w:val="00B11B01"/>
    <w:rsid w:val="00B11C35"/>
    <w:rsid w:val="00B11CF2"/>
    <w:rsid w:val="00B11EBC"/>
    <w:rsid w:val="00B11F06"/>
    <w:rsid w:val="00B12C20"/>
    <w:rsid w:val="00B14A6B"/>
    <w:rsid w:val="00B15D7C"/>
    <w:rsid w:val="00B1617F"/>
    <w:rsid w:val="00B16201"/>
    <w:rsid w:val="00B16908"/>
    <w:rsid w:val="00B16994"/>
    <w:rsid w:val="00B16C5C"/>
    <w:rsid w:val="00B16ED7"/>
    <w:rsid w:val="00B17112"/>
    <w:rsid w:val="00B17DE8"/>
    <w:rsid w:val="00B21B39"/>
    <w:rsid w:val="00B232E1"/>
    <w:rsid w:val="00B23593"/>
    <w:rsid w:val="00B23F88"/>
    <w:rsid w:val="00B24544"/>
    <w:rsid w:val="00B2595F"/>
    <w:rsid w:val="00B264B6"/>
    <w:rsid w:val="00B267DB"/>
    <w:rsid w:val="00B26DA2"/>
    <w:rsid w:val="00B272EA"/>
    <w:rsid w:val="00B31548"/>
    <w:rsid w:val="00B31AD1"/>
    <w:rsid w:val="00B31B72"/>
    <w:rsid w:val="00B3293E"/>
    <w:rsid w:val="00B3392D"/>
    <w:rsid w:val="00B3415A"/>
    <w:rsid w:val="00B3475C"/>
    <w:rsid w:val="00B352F7"/>
    <w:rsid w:val="00B35951"/>
    <w:rsid w:val="00B36509"/>
    <w:rsid w:val="00B365E1"/>
    <w:rsid w:val="00B36621"/>
    <w:rsid w:val="00B367EA"/>
    <w:rsid w:val="00B36881"/>
    <w:rsid w:val="00B36C7A"/>
    <w:rsid w:val="00B3707C"/>
    <w:rsid w:val="00B400AE"/>
    <w:rsid w:val="00B4055E"/>
    <w:rsid w:val="00B406C5"/>
    <w:rsid w:val="00B4128D"/>
    <w:rsid w:val="00B41A6F"/>
    <w:rsid w:val="00B41AA2"/>
    <w:rsid w:val="00B41C96"/>
    <w:rsid w:val="00B41E5C"/>
    <w:rsid w:val="00B42333"/>
    <w:rsid w:val="00B4343C"/>
    <w:rsid w:val="00B43603"/>
    <w:rsid w:val="00B439AC"/>
    <w:rsid w:val="00B43C6F"/>
    <w:rsid w:val="00B4485B"/>
    <w:rsid w:val="00B44E61"/>
    <w:rsid w:val="00B4539E"/>
    <w:rsid w:val="00B45696"/>
    <w:rsid w:val="00B45995"/>
    <w:rsid w:val="00B463AB"/>
    <w:rsid w:val="00B46AFD"/>
    <w:rsid w:val="00B471B8"/>
    <w:rsid w:val="00B47BD6"/>
    <w:rsid w:val="00B50A90"/>
    <w:rsid w:val="00B50C31"/>
    <w:rsid w:val="00B5127F"/>
    <w:rsid w:val="00B52085"/>
    <w:rsid w:val="00B523B7"/>
    <w:rsid w:val="00B529C9"/>
    <w:rsid w:val="00B53586"/>
    <w:rsid w:val="00B53670"/>
    <w:rsid w:val="00B53D29"/>
    <w:rsid w:val="00B542AD"/>
    <w:rsid w:val="00B5509C"/>
    <w:rsid w:val="00B552E8"/>
    <w:rsid w:val="00B55676"/>
    <w:rsid w:val="00B55AFB"/>
    <w:rsid w:val="00B56047"/>
    <w:rsid w:val="00B56B7F"/>
    <w:rsid w:val="00B57CC3"/>
    <w:rsid w:val="00B60F63"/>
    <w:rsid w:val="00B61EAE"/>
    <w:rsid w:val="00B626AE"/>
    <w:rsid w:val="00B627BA"/>
    <w:rsid w:val="00B64020"/>
    <w:rsid w:val="00B64999"/>
    <w:rsid w:val="00B651D4"/>
    <w:rsid w:val="00B6530B"/>
    <w:rsid w:val="00B65341"/>
    <w:rsid w:val="00B65658"/>
    <w:rsid w:val="00B65A2C"/>
    <w:rsid w:val="00B660FF"/>
    <w:rsid w:val="00B66405"/>
    <w:rsid w:val="00B677AF"/>
    <w:rsid w:val="00B67E8B"/>
    <w:rsid w:val="00B706A5"/>
    <w:rsid w:val="00B70D20"/>
    <w:rsid w:val="00B71A8A"/>
    <w:rsid w:val="00B71D32"/>
    <w:rsid w:val="00B72BEC"/>
    <w:rsid w:val="00B73846"/>
    <w:rsid w:val="00B73DEF"/>
    <w:rsid w:val="00B7438D"/>
    <w:rsid w:val="00B7441B"/>
    <w:rsid w:val="00B74624"/>
    <w:rsid w:val="00B74EB0"/>
    <w:rsid w:val="00B7505E"/>
    <w:rsid w:val="00B75CAC"/>
    <w:rsid w:val="00B7600C"/>
    <w:rsid w:val="00B76584"/>
    <w:rsid w:val="00B76AE6"/>
    <w:rsid w:val="00B76E40"/>
    <w:rsid w:val="00B77072"/>
    <w:rsid w:val="00B80C5C"/>
    <w:rsid w:val="00B80C94"/>
    <w:rsid w:val="00B82203"/>
    <w:rsid w:val="00B82DCD"/>
    <w:rsid w:val="00B8632C"/>
    <w:rsid w:val="00B86389"/>
    <w:rsid w:val="00B86805"/>
    <w:rsid w:val="00B873E1"/>
    <w:rsid w:val="00B878D5"/>
    <w:rsid w:val="00B87D3B"/>
    <w:rsid w:val="00B90606"/>
    <w:rsid w:val="00B90699"/>
    <w:rsid w:val="00B9073F"/>
    <w:rsid w:val="00B90C74"/>
    <w:rsid w:val="00B90F07"/>
    <w:rsid w:val="00B924B7"/>
    <w:rsid w:val="00B93EDC"/>
    <w:rsid w:val="00B940CF"/>
    <w:rsid w:val="00B94CEF"/>
    <w:rsid w:val="00B95B77"/>
    <w:rsid w:val="00B96957"/>
    <w:rsid w:val="00B96B35"/>
    <w:rsid w:val="00B9779A"/>
    <w:rsid w:val="00BA034E"/>
    <w:rsid w:val="00BA06CB"/>
    <w:rsid w:val="00BA07AC"/>
    <w:rsid w:val="00BA09A5"/>
    <w:rsid w:val="00BA0A06"/>
    <w:rsid w:val="00BA0BD3"/>
    <w:rsid w:val="00BA1326"/>
    <w:rsid w:val="00BA1576"/>
    <w:rsid w:val="00BA2755"/>
    <w:rsid w:val="00BA32AE"/>
    <w:rsid w:val="00BA3D9B"/>
    <w:rsid w:val="00BA40DF"/>
    <w:rsid w:val="00BA4871"/>
    <w:rsid w:val="00BA6828"/>
    <w:rsid w:val="00BA6C3F"/>
    <w:rsid w:val="00BA7195"/>
    <w:rsid w:val="00BA7EF1"/>
    <w:rsid w:val="00BB22A2"/>
    <w:rsid w:val="00BB2926"/>
    <w:rsid w:val="00BB3C1E"/>
    <w:rsid w:val="00BB4849"/>
    <w:rsid w:val="00BB4F88"/>
    <w:rsid w:val="00BB5A6B"/>
    <w:rsid w:val="00BB5B82"/>
    <w:rsid w:val="00BB69EE"/>
    <w:rsid w:val="00BB72DC"/>
    <w:rsid w:val="00BC0820"/>
    <w:rsid w:val="00BC112A"/>
    <w:rsid w:val="00BC1FF8"/>
    <w:rsid w:val="00BC2E70"/>
    <w:rsid w:val="00BC2E77"/>
    <w:rsid w:val="00BC32C8"/>
    <w:rsid w:val="00BC389F"/>
    <w:rsid w:val="00BC3F21"/>
    <w:rsid w:val="00BC4736"/>
    <w:rsid w:val="00BC518B"/>
    <w:rsid w:val="00BC55F7"/>
    <w:rsid w:val="00BC58EE"/>
    <w:rsid w:val="00BC5B94"/>
    <w:rsid w:val="00BC5C71"/>
    <w:rsid w:val="00BC5D93"/>
    <w:rsid w:val="00BC6C11"/>
    <w:rsid w:val="00BC7B49"/>
    <w:rsid w:val="00BC7F2F"/>
    <w:rsid w:val="00BD030E"/>
    <w:rsid w:val="00BD0B4D"/>
    <w:rsid w:val="00BD0C21"/>
    <w:rsid w:val="00BD0F94"/>
    <w:rsid w:val="00BD2373"/>
    <w:rsid w:val="00BD2E1D"/>
    <w:rsid w:val="00BD3BCB"/>
    <w:rsid w:val="00BD449B"/>
    <w:rsid w:val="00BD4A70"/>
    <w:rsid w:val="00BD5938"/>
    <w:rsid w:val="00BD6CDF"/>
    <w:rsid w:val="00BD70F7"/>
    <w:rsid w:val="00BD7483"/>
    <w:rsid w:val="00BD7FF0"/>
    <w:rsid w:val="00BE0E17"/>
    <w:rsid w:val="00BE0ED0"/>
    <w:rsid w:val="00BE1305"/>
    <w:rsid w:val="00BE1DAD"/>
    <w:rsid w:val="00BE2CAD"/>
    <w:rsid w:val="00BE311D"/>
    <w:rsid w:val="00BE370B"/>
    <w:rsid w:val="00BF01E1"/>
    <w:rsid w:val="00BF0E40"/>
    <w:rsid w:val="00BF2519"/>
    <w:rsid w:val="00BF2DDD"/>
    <w:rsid w:val="00BF3A27"/>
    <w:rsid w:val="00BF3A77"/>
    <w:rsid w:val="00BF3D96"/>
    <w:rsid w:val="00BF4057"/>
    <w:rsid w:val="00BF5803"/>
    <w:rsid w:val="00BF6868"/>
    <w:rsid w:val="00BF6B90"/>
    <w:rsid w:val="00BF7A9E"/>
    <w:rsid w:val="00BF7D22"/>
    <w:rsid w:val="00BF7E17"/>
    <w:rsid w:val="00C00B14"/>
    <w:rsid w:val="00C01612"/>
    <w:rsid w:val="00C019F7"/>
    <w:rsid w:val="00C02BE7"/>
    <w:rsid w:val="00C03712"/>
    <w:rsid w:val="00C03774"/>
    <w:rsid w:val="00C03C7C"/>
    <w:rsid w:val="00C03F60"/>
    <w:rsid w:val="00C04395"/>
    <w:rsid w:val="00C04643"/>
    <w:rsid w:val="00C04961"/>
    <w:rsid w:val="00C04AA8"/>
    <w:rsid w:val="00C06407"/>
    <w:rsid w:val="00C0722B"/>
    <w:rsid w:val="00C121B0"/>
    <w:rsid w:val="00C12F69"/>
    <w:rsid w:val="00C1328A"/>
    <w:rsid w:val="00C1387E"/>
    <w:rsid w:val="00C1533B"/>
    <w:rsid w:val="00C159B8"/>
    <w:rsid w:val="00C15C9A"/>
    <w:rsid w:val="00C16747"/>
    <w:rsid w:val="00C173AA"/>
    <w:rsid w:val="00C21C78"/>
    <w:rsid w:val="00C2223B"/>
    <w:rsid w:val="00C232DD"/>
    <w:rsid w:val="00C2469C"/>
    <w:rsid w:val="00C2618B"/>
    <w:rsid w:val="00C2658D"/>
    <w:rsid w:val="00C2667E"/>
    <w:rsid w:val="00C2682F"/>
    <w:rsid w:val="00C27150"/>
    <w:rsid w:val="00C27C10"/>
    <w:rsid w:val="00C30209"/>
    <w:rsid w:val="00C3032E"/>
    <w:rsid w:val="00C311A5"/>
    <w:rsid w:val="00C3136E"/>
    <w:rsid w:val="00C31771"/>
    <w:rsid w:val="00C31B5C"/>
    <w:rsid w:val="00C32441"/>
    <w:rsid w:val="00C32C63"/>
    <w:rsid w:val="00C3406E"/>
    <w:rsid w:val="00C3468D"/>
    <w:rsid w:val="00C34DAB"/>
    <w:rsid w:val="00C363F6"/>
    <w:rsid w:val="00C36606"/>
    <w:rsid w:val="00C37D8E"/>
    <w:rsid w:val="00C407A7"/>
    <w:rsid w:val="00C40B25"/>
    <w:rsid w:val="00C418D0"/>
    <w:rsid w:val="00C41E72"/>
    <w:rsid w:val="00C42D26"/>
    <w:rsid w:val="00C43B0C"/>
    <w:rsid w:val="00C44DE7"/>
    <w:rsid w:val="00C4569D"/>
    <w:rsid w:val="00C46C8E"/>
    <w:rsid w:val="00C474F6"/>
    <w:rsid w:val="00C47C9E"/>
    <w:rsid w:val="00C50B47"/>
    <w:rsid w:val="00C520AD"/>
    <w:rsid w:val="00C527B7"/>
    <w:rsid w:val="00C52F79"/>
    <w:rsid w:val="00C532A5"/>
    <w:rsid w:val="00C53FBF"/>
    <w:rsid w:val="00C54272"/>
    <w:rsid w:val="00C542E9"/>
    <w:rsid w:val="00C54EFF"/>
    <w:rsid w:val="00C5532E"/>
    <w:rsid w:val="00C565D1"/>
    <w:rsid w:val="00C566B4"/>
    <w:rsid w:val="00C56FA4"/>
    <w:rsid w:val="00C6000E"/>
    <w:rsid w:val="00C601A2"/>
    <w:rsid w:val="00C60964"/>
    <w:rsid w:val="00C60F82"/>
    <w:rsid w:val="00C6112C"/>
    <w:rsid w:val="00C62496"/>
    <w:rsid w:val="00C62EB6"/>
    <w:rsid w:val="00C6325B"/>
    <w:rsid w:val="00C6429C"/>
    <w:rsid w:val="00C642DE"/>
    <w:rsid w:val="00C65720"/>
    <w:rsid w:val="00C662B1"/>
    <w:rsid w:val="00C66435"/>
    <w:rsid w:val="00C66676"/>
    <w:rsid w:val="00C666F6"/>
    <w:rsid w:val="00C66848"/>
    <w:rsid w:val="00C7010F"/>
    <w:rsid w:val="00C70434"/>
    <w:rsid w:val="00C70D9D"/>
    <w:rsid w:val="00C71D69"/>
    <w:rsid w:val="00C7256A"/>
    <w:rsid w:val="00C73B05"/>
    <w:rsid w:val="00C73C50"/>
    <w:rsid w:val="00C73E94"/>
    <w:rsid w:val="00C7408F"/>
    <w:rsid w:val="00C74FC2"/>
    <w:rsid w:val="00C756CA"/>
    <w:rsid w:val="00C7630A"/>
    <w:rsid w:val="00C7674D"/>
    <w:rsid w:val="00C76981"/>
    <w:rsid w:val="00C77252"/>
    <w:rsid w:val="00C77A38"/>
    <w:rsid w:val="00C77D04"/>
    <w:rsid w:val="00C80215"/>
    <w:rsid w:val="00C83357"/>
    <w:rsid w:val="00C83760"/>
    <w:rsid w:val="00C83F80"/>
    <w:rsid w:val="00C841AB"/>
    <w:rsid w:val="00C842A0"/>
    <w:rsid w:val="00C846E6"/>
    <w:rsid w:val="00C85960"/>
    <w:rsid w:val="00C85D5A"/>
    <w:rsid w:val="00C900C5"/>
    <w:rsid w:val="00C9073A"/>
    <w:rsid w:val="00C90C70"/>
    <w:rsid w:val="00C919B5"/>
    <w:rsid w:val="00C922AE"/>
    <w:rsid w:val="00C92805"/>
    <w:rsid w:val="00C92DC8"/>
    <w:rsid w:val="00C93BEA"/>
    <w:rsid w:val="00C93F6C"/>
    <w:rsid w:val="00C94106"/>
    <w:rsid w:val="00C94627"/>
    <w:rsid w:val="00C96E82"/>
    <w:rsid w:val="00C97069"/>
    <w:rsid w:val="00C97A90"/>
    <w:rsid w:val="00CA0128"/>
    <w:rsid w:val="00CA0B8F"/>
    <w:rsid w:val="00CA1BF9"/>
    <w:rsid w:val="00CA1D11"/>
    <w:rsid w:val="00CA2066"/>
    <w:rsid w:val="00CA54AE"/>
    <w:rsid w:val="00CA5926"/>
    <w:rsid w:val="00CA665E"/>
    <w:rsid w:val="00CA6DED"/>
    <w:rsid w:val="00CA6ECE"/>
    <w:rsid w:val="00CA7126"/>
    <w:rsid w:val="00CA7130"/>
    <w:rsid w:val="00CB05B5"/>
    <w:rsid w:val="00CB0618"/>
    <w:rsid w:val="00CB0E6A"/>
    <w:rsid w:val="00CB18F8"/>
    <w:rsid w:val="00CB3CA6"/>
    <w:rsid w:val="00CB4B3F"/>
    <w:rsid w:val="00CB50E4"/>
    <w:rsid w:val="00CB59DF"/>
    <w:rsid w:val="00CC1FCA"/>
    <w:rsid w:val="00CC21F4"/>
    <w:rsid w:val="00CC25D0"/>
    <w:rsid w:val="00CC2845"/>
    <w:rsid w:val="00CC2C37"/>
    <w:rsid w:val="00CC2EF7"/>
    <w:rsid w:val="00CC3656"/>
    <w:rsid w:val="00CC36AF"/>
    <w:rsid w:val="00CC37F1"/>
    <w:rsid w:val="00CC420A"/>
    <w:rsid w:val="00CC4C54"/>
    <w:rsid w:val="00CC5333"/>
    <w:rsid w:val="00CC5B92"/>
    <w:rsid w:val="00CC77A7"/>
    <w:rsid w:val="00CD07F0"/>
    <w:rsid w:val="00CD0A86"/>
    <w:rsid w:val="00CD13EE"/>
    <w:rsid w:val="00CD24B8"/>
    <w:rsid w:val="00CD4170"/>
    <w:rsid w:val="00CD41AE"/>
    <w:rsid w:val="00CD51BC"/>
    <w:rsid w:val="00CD6040"/>
    <w:rsid w:val="00CD653A"/>
    <w:rsid w:val="00CD6ED5"/>
    <w:rsid w:val="00CD73E6"/>
    <w:rsid w:val="00CE0E92"/>
    <w:rsid w:val="00CE4EED"/>
    <w:rsid w:val="00CE5A39"/>
    <w:rsid w:val="00CE5F4D"/>
    <w:rsid w:val="00CE6587"/>
    <w:rsid w:val="00CE77F6"/>
    <w:rsid w:val="00CE7D3A"/>
    <w:rsid w:val="00CF0C35"/>
    <w:rsid w:val="00CF0D33"/>
    <w:rsid w:val="00CF0D5F"/>
    <w:rsid w:val="00CF174B"/>
    <w:rsid w:val="00CF1C2B"/>
    <w:rsid w:val="00CF20E6"/>
    <w:rsid w:val="00CF2502"/>
    <w:rsid w:val="00CF2ED2"/>
    <w:rsid w:val="00CF35CC"/>
    <w:rsid w:val="00CF3AAA"/>
    <w:rsid w:val="00CF3ACA"/>
    <w:rsid w:val="00CF411C"/>
    <w:rsid w:val="00CF41C6"/>
    <w:rsid w:val="00CF43D8"/>
    <w:rsid w:val="00CF5275"/>
    <w:rsid w:val="00CF6838"/>
    <w:rsid w:val="00CF78C9"/>
    <w:rsid w:val="00CF7A00"/>
    <w:rsid w:val="00D01410"/>
    <w:rsid w:val="00D01441"/>
    <w:rsid w:val="00D021BA"/>
    <w:rsid w:val="00D02415"/>
    <w:rsid w:val="00D026B7"/>
    <w:rsid w:val="00D03314"/>
    <w:rsid w:val="00D03B64"/>
    <w:rsid w:val="00D04520"/>
    <w:rsid w:val="00D05BD4"/>
    <w:rsid w:val="00D06011"/>
    <w:rsid w:val="00D06E31"/>
    <w:rsid w:val="00D06E60"/>
    <w:rsid w:val="00D075F7"/>
    <w:rsid w:val="00D07698"/>
    <w:rsid w:val="00D10457"/>
    <w:rsid w:val="00D112E7"/>
    <w:rsid w:val="00D117DB"/>
    <w:rsid w:val="00D11CB7"/>
    <w:rsid w:val="00D11EBC"/>
    <w:rsid w:val="00D13158"/>
    <w:rsid w:val="00D133A3"/>
    <w:rsid w:val="00D14132"/>
    <w:rsid w:val="00D14DD7"/>
    <w:rsid w:val="00D1572E"/>
    <w:rsid w:val="00D15999"/>
    <w:rsid w:val="00D164E8"/>
    <w:rsid w:val="00D16BCB"/>
    <w:rsid w:val="00D1721D"/>
    <w:rsid w:val="00D20635"/>
    <w:rsid w:val="00D21CE1"/>
    <w:rsid w:val="00D22250"/>
    <w:rsid w:val="00D2233A"/>
    <w:rsid w:val="00D226B6"/>
    <w:rsid w:val="00D227A4"/>
    <w:rsid w:val="00D22C8B"/>
    <w:rsid w:val="00D23366"/>
    <w:rsid w:val="00D24142"/>
    <w:rsid w:val="00D24255"/>
    <w:rsid w:val="00D252D3"/>
    <w:rsid w:val="00D264A2"/>
    <w:rsid w:val="00D26C09"/>
    <w:rsid w:val="00D26F1D"/>
    <w:rsid w:val="00D2703B"/>
    <w:rsid w:val="00D31151"/>
    <w:rsid w:val="00D32098"/>
    <w:rsid w:val="00D323F2"/>
    <w:rsid w:val="00D327B0"/>
    <w:rsid w:val="00D329F7"/>
    <w:rsid w:val="00D32D21"/>
    <w:rsid w:val="00D3401D"/>
    <w:rsid w:val="00D34A59"/>
    <w:rsid w:val="00D34D2A"/>
    <w:rsid w:val="00D34FD2"/>
    <w:rsid w:val="00D3711A"/>
    <w:rsid w:val="00D37639"/>
    <w:rsid w:val="00D40D38"/>
    <w:rsid w:val="00D40F50"/>
    <w:rsid w:val="00D41C23"/>
    <w:rsid w:val="00D41D92"/>
    <w:rsid w:val="00D426CF"/>
    <w:rsid w:val="00D42BA8"/>
    <w:rsid w:val="00D42FEC"/>
    <w:rsid w:val="00D4409C"/>
    <w:rsid w:val="00D44F1B"/>
    <w:rsid w:val="00D4756E"/>
    <w:rsid w:val="00D47A68"/>
    <w:rsid w:val="00D50216"/>
    <w:rsid w:val="00D509E2"/>
    <w:rsid w:val="00D51DE1"/>
    <w:rsid w:val="00D52157"/>
    <w:rsid w:val="00D52D42"/>
    <w:rsid w:val="00D53526"/>
    <w:rsid w:val="00D540A1"/>
    <w:rsid w:val="00D54A26"/>
    <w:rsid w:val="00D55748"/>
    <w:rsid w:val="00D55864"/>
    <w:rsid w:val="00D5607D"/>
    <w:rsid w:val="00D60104"/>
    <w:rsid w:val="00D60A56"/>
    <w:rsid w:val="00D61384"/>
    <w:rsid w:val="00D6141F"/>
    <w:rsid w:val="00D61914"/>
    <w:rsid w:val="00D61A00"/>
    <w:rsid w:val="00D61C90"/>
    <w:rsid w:val="00D61DDC"/>
    <w:rsid w:val="00D61DE4"/>
    <w:rsid w:val="00D62C4C"/>
    <w:rsid w:val="00D63C5B"/>
    <w:rsid w:val="00D63D9A"/>
    <w:rsid w:val="00D65076"/>
    <w:rsid w:val="00D66599"/>
    <w:rsid w:val="00D66ED7"/>
    <w:rsid w:val="00D6775E"/>
    <w:rsid w:val="00D679D9"/>
    <w:rsid w:val="00D67DC4"/>
    <w:rsid w:val="00D67E6D"/>
    <w:rsid w:val="00D67FBA"/>
    <w:rsid w:val="00D713F9"/>
    <w:rsid w:val="00D73198"/>
    <w:rsid w:val="00D7440B"/>
    <w:rsid w:val="00D75202"/>
    <w:rsid w:val="00D75B50"/>
    <w:rsid w:val="00D762CA"/>
    <w:rsid w:val="00D76852"/>
    <w:rsid w:val="00D7760C"/>
    <w:rsid w:val="00D77734"/>
    <w:rsid w:val="00D77AAE"/>
    <w:rsid w:val="00D80299"/>
    <w:rsid w:val="00D80826"/>
    <w:rsid w:val="00D80C3C"/>
    <w:rsid w:val="00D80D08"/>
    <w:rsid w:val="00D81371"/>
    <w:rsid w:val="00D81F67"/>
    <w:rsid w:val="00D82246"/>
    <w:rsid w:val="00D82705"/>
    <w:rsid w:val="00D82E51"/>
    <w:rsid w:val="00D83708"/>
    <w:rsid w:val="00D83CDB"/>
    <w:rsid w:val="00D8427F"/>
    <w:rsid w:val="00D844CE"/>
    <w:rsid w:val="00D8600C"/>
    <w:rsid w:val="00D8631D"/>
    <w:rsid w:val="00D86CD9"/>
    <w:rsid w:val="00D87E07"/>
    <w:rsid w:val="00D9007B"/>
    <w:rsid w:val="00D9132F"/>
    <w:rsid w:val="00D916B2"/>
    <w:rsid w:val="00D91B6C"/>
    <w:rsid w:val="00D92652"/>
    <w:rsid w:val="00D92DA8"/>
    <w:rsid w:val="00D93222"/>
    <w:rsid w:val="00D932D5"/>
    <w:rsid w:val="00D934C1"/>
    <w:rsid w:val="00D93DFE"/>
    <w:rsid w:val="00D95026"/>
    <w:rsid w:val="00D966DB"/>
    <w:rsid w:val="00D968EA"/>
    <w:rsid w:val="00D96EEB"/>
    <w:rsid w:val="00D97E62"/>
    <w:rsid w:val="00DA077B"/>
    <w:rsid w:val="00DA0EE9"/>
    <w:rsid w:val="00DA1FF5"/>
    <w:rsid w:val="00DA22C8"/>
    <w:rsid w:val="00DA307A"/>
    <w:rsid w:val="00DA3C02"/>
    <w:rsid w:val="00DA412F"/>
    <w:rsid w:val="00DA4C3D"/>
    <w:rsid w:val="00DA4D62"/>
    <w:rsid w:val="00DA5B52"/>
    <w:rsid w:val="00DA6BE3"/>
    <w:rsid w:val="00DA7852"/>
    <w:rsid w:val="00DB0724"/>
    <w:rsid w:val="00DB1696"/>
    <w:rsid w:val="00DB19AA"/>
    <w:rsid w:val="00DB19F9"/>
    <w:rsid w:val="00DB1CEE"/>
    <w:rsid w:val="00DB1D50"/>
    <w:rsid w:val="00DB265B"/>
    <w:rsid w:val="00DB269C"/>
    <w:rsid w:val="00DB2A38"/>
    <w:rsid w:val="00DB2C57"/>
    <w:rsid w:val="00DB3352"/>
    <w:rsid w:val="00DB3BAA"/>
    <w:rsid w:val="00DB4390"/>
    <w:rsid w:val="00DB5008"/>
    <w:rsid w:val="00DB55A1"/>
    <w:rsid w:val="00DB63FD"/>
    <w:rsid w:val="00DB690F"/>
    <w:rsid w:val="00DB6CAE"/>
    <w:rsid w:val="00DB6CBB"/>
    <w:rsid w:val="00DB74ED"/>
    <w:rsid w:val="00DB79E9"/>
    <w:rsid w:val="00DB7B88"/>
    <w:rsid w:val="00DC05D9"/>
    <w:rsid w:val="00DC1634"/>
    <w:rsid w:val="00DC1959"/>
    <w:rsid w:val="00DC2377"/>
    <w:rsid w:val="00DC2996"/>
    <w:rsid w:val="00DC29C0"/>
    <w:rsid w:val="00DC4511"/>
    <w:rsid w:val="00DC4D4E"/>
    <w:rsid w:val="00DC5271"/>
    <w:rsid w:val="00DC5686"/>
    <w:rsid w:val="00DC6697"/>
    <w:rsid w:val="00DC7F27"/>
    <w:rsid w:val="00DD1050"/>
    <w:rsid w:val="00DD14DF"/>
    <w:rsid w:val="00DD1610"/>
    <w:rsid w:val="00DD1C16"/>
    <w:rsid w:val="00DD3F6C"/>
    <w:rsid w:val="00DD5058"/>
    <w:rsid w:val="00DD5547"/>
    <w:rsid w:val="00DD568D"/>
    <w:rsid w:val="00DD58B0"/>
    <w:rsid w:val="00DD5976"/>
    <w:rsid w:val="00DD650D"/>
    <w:rsid w:val="00DD74F7"/>
    <w:rsid w:val="00DE00B3"/>
    <w:rsid w:val="00DE0F61"/>
    <w:rsid w:val="00DE179C"/>
    <w:rsid w:val="00DE2314"/>
    <w:rsid w:val="00DE3786"/>
    <w:rsid w:val="00DE4360"/>
    <w:rsid w:val="00DE4FA3"/>
    <w:rsid w:val="00DE5192"/>
    <w:rsid w:val="00DE5F0F"/>
    <w:rsid w:val="00DE6592"/>
    <w:rsid w:val="00DE6667"/>
    <w:rsid w:val="00DE721F"/>
    <w:rsid w:val="00DE7331"/>
    <w:rsid w:val="00DE797D"/>
    <w:rsid w:val="00DF00D2"/>
    <w:rsid w:val="00DF0541"/>
    <w:rsid w:val="00DF0562"/>
    <w:rsid w:val="00DF0F80"/>
    <w:rsid w:val="00DF1298"/>
    <w:rsid w:val="00DF1396"/>
    <w:rsid w:val="00DF159C"/>
    <w:rsid w:val="00DF1A61"/>
    <w:rsid w:val="00DF1A6F"/>
    <w:rsid w:val="00DF2645"/>
    <w:rsid w:val="00DF266D"/>
    <w:rsid w:val="00DF28B7"/>
    <w:rsid w:val="00DF2B9E"/>
    <w:rsid w:val="00DF32E2"/>
    <w:rsid w:val="00DF73A3"/>
    <w:rsid w:val="00DF7863"/>
    <w:rsid w:val="00DF7899"/>
    <w:rsid w:val="00DF7AA5"/>
    <w:rsid w:val="00E0242A"/>
    <w:rsid w:val="00E026CA"/>
    <w:rsid w:val="00E05C71"/>
    <w:rsid w:val="00E0663A"/>
    <w:rsid w:val="00E069F0"/>
    <w:rsid w:val="00E10F82"/>
    <w:rsid w:val="00E11AA3"/>
    <w:rsid w:val="00E11F1F"/>
    <w:rsid w:val="00E14CD8"/>
    <w:rsid w:val="00E14E1F"/>
    <w:rsid w:val="00E160F4"/>
    <w:rsid w:val="00E16811"/>
    <w:rsid w:val="00E1718B"/>
    <w:rsid w:val="00E1760B"/>
    <w:rsid w:val="00E20063"/>
    <w:rsid w:val="00E20528"/>
    <w:rsid w:val="00E21549"/>
    <w:rsid w:val="00E21B05"/>
    <w:rsid w:val="00E22F1E"/>
    <w:rsid w:val="00E24367"/>
    <w:rsid w:val="00E25196"/>
    <w:rsid w:val="00E251A1"/>
    <w:rsid w:val="00E26BC1"/>
    <w:rsid w:val="00E27625"/>
    <w:rsid w:val="00E27B54"/>
    <w:rsid w:val="00E30BBA"/>
    <w:rsid w:val="00E30C11"/>
    <w:rsid w:val="00E30DFE"/>
    <w:rsid w:val="00E30E23"/>
    <w:rsid w:val="00E32284"/>
    <w:rsid w:val="00E32314"/>
    <w:rsid w:val="00E328FD"/>
    <w:rsid w:val="00E3305C"/>
    <w:rsid w:val="00E33333"/>
    <w:rsid w:val="00E33B45"/>
    <w:rsid w:val="00E344BC"/>
    <w:rsid w:val="00E34AFB"/>
    <w:rsid w:val="00E34EAB"/>
    <w:rsid w:val="00E37612"/>
    <w:rsid w:val="00E40286"/>
    <w:rsid w:val="00E40324"/>
    <w:rsid w:val="00E409E2"/>
    <w:rsid w:val="00E42446"/>
    <w:rsid w:val="00E42FE4"/>
    <w:rsid w:val="00E4367F"/>
    <w:rsid w:val="00E45434"/>
    <w:rsid w:val="00E45CA3"/>
    <w:rsid w:val="00E45D23"/>
    <w:rsid w:val="00E46032"/>
    <w:rsid w:val="00E46341"/>
    <w:rsid w:val="00E47607"/>
    <w:rsid w:val="00E50731"/>
    <w:rsid w:val="00E50CCB"/>
    <w:rsid w:val="00E50E55"/>
    <w:rsid w:val="00E51916"/>
    <w:rsid w:val="00E51A8E"/>
    <w:rsid w:val="00E51A9B"/>
    <w:rsid w:val="00E51DB9"/>
    <w:rsid w:val="00E5256A"/>
    <w:rsid w:val="00E52934"/>
    <w:rsid w:val="00E52FB2"/>
    <w:rsid w:val="00E531AF"/>
    <w:rsid w:val="00E541F6"/>
    <w:rsid w:val="00E54417"/>
    <w:rsid w:val="00E57872"/>
    <w:rsid w:val="00E6023A"/>
    <w:rsid w:val="00E604F2"/>
    <w:rsid w:val="00E6097D"/>
    <w:rsid w:val="00E61735"/>
    <w:rsid w:val="00E61B69"/>
    <w:rsid w:val="00E6254B"/>
    <w:rsid w:val="00E63910"/>
    <w:rsid w:val="00E6467F"/>
    <w:rsid w:val="00E648EC"/>
    <w:rsid w:val="00E64A8D"/>
    <w:rsid w:val="00E657EF"/>
    <w:rsid w:val="00E65CFB"/>
    <w:rsid w:val="00E66064"/>
    <w:rsid w:val="00E6653D"/>
    <w:rsid w:val="00E669F9"/>
    <w:rsid w:val="00E672B7"/>
    <w:rsid w:val="00E67DF9"/>
    <w:rsid w:val="00E67EA1"/>
    <w:rsid w:val="00E70D75"/>
    <w:rsid w:val="00E7161B"/>
    <w:rsid w:val="00E71AC3"/>
    <w:rsid w:val="00E71BC6"/>
    <w:rsid w:val="00E72864"/>
    <w:rsid w:val="00E73B44"/>
    <w:rsid w:val="00E73FA7"/>
    <w:rsid w:val="00E7548B"/>
    <w:rsid w:val="00E75530"/>
    <w:rsid w:val="00E7635F"/>
    <w:rsid w:val="00E76509"/>
    <w:rsid w:val="00E769F4"/>
    <w:rsid w:val="00E775B9"/>
    <w:rsid w:val="00E806D7"/>
    <w:rsid w:val="00E80E1E"/>
    <w:rsid w:val="00E8119A"/>
    <w:rsid w:val="00E81A80"/>
    <w:rsid w:val="00E81F3F"/>
    <w:rsid w:val="00E82518"/>
    <w:rsid w:val="00E83B40"/>
    <w:rsid w:val="00E83F75"/>
    <w:rsid w:val="00E84014"/>
    <w:rsid w:val="00E84067"/>
    <w:rsid w:val="00E8522B"/>
    <w:rsid w:val="00E85858"/>
    <w:rsid w:val="00E859A3"/>
    <w:rsid w:val="00E859D1"/>
    <w:rsid w:val="00E87970"/>
    <w:rsid w:val="00E90D58"/>
    <w:rsid w:val="00E919A1"/>
    <w:rsid w:val="00E91D9D"/>
    <w:rsid w:val="00E93152"/>
    <w:rsid w:val="00E95160"/>
    <w:rsid w:val="00E95AA1"/>
    <w:rsid w:val="00E96FC6"/>
    <w:rsid w:val="00EA00E6"/>
    <w:rsid w:val="00EA086D"/>
    <w:rsid w:val="00EA13AD"/>
    <w:rsid w:val="00EA1B32"/>
    <w:rsid w:val="00EA2902"/>
    <w:rsid w:val="00EA2C1F"/>
    <w:rsid w:val="00EA662A"/>
    <w:rsid w:val="00EA6E9F"/>
    <w:rsid w:val="00EA7162"/>
    <w:rsid w:val="00EB0E28"/>
    <w:rsid w:val="00EB1867"/>
    <w:rsid w:val="00EB1F6A"/>
    <w:rsid w:val="00EB2889"/>
    <w:rsid w:val="00EB28F9"/>
    <w:rsid w:val="00EB30C7"/>
    <w:rsid w:val="00EB3611"/>
    <w:rsid w:val="00EB3988"/>
    <w:rsid w:val="00EB3F3C"/>
    <w:rsid w:val="00EB4046"/>
    <w:rsid w:val="00EB41C5"/>
    <w:rsid w:val="00EB4A21"/>
    <w:rsid w:val="00EB60D9"/>
    <w:rsid w:val="00EB63F2"/>
    <w:rsid w:val="00EB6850"/>
    <w:rsid w:val="00EB6EC5"/>
    <w:rsid w:val="00EB7783"/>
    <w:rsid w:val="00EB79BA"/>
    <w:rsid w:val="00EB7F30"/>
    <w:rsid w:val="00EC577C"/>
    <w:rsid w:val="00EC5C26"/>
    <w:rsid w:val="00EC5F1F"/>
    <w:rsid w:val="00EC74A6"/>
    <w:rsid w:val="00EC7BB7"/>
    <w:rsid w:val="00ED03B6"/>
    <w:rsid w:val="00ED1590"/>
    <w:rsid w:val="00ED1D45"/>
    <w:rsid w:val="00ED216F"/>
    <w:rsid w:val="00ED2ECF"/>
    <w:rsid w:val="00ED2F7B"/>
    <w:rsid w:val="00ED313E"/>
    <w:rsid w:val="00ED3778"/>
    <w:rsid w:val="00ED406A"/>
    <w:rsid w:val="00ED4159"/>
    <w:rsid w:val="00ED4B84"/>
    <w:rsid w:val="00ED56E0"/>
    <w:rsid w:val="00ED6C47"/>
    <w:rsid w:val="00ED74FB"/>
    <w:rsid w:val="00ED7940"/>
    <w:rsid w:val="00EE044D"/>
    <w:rsid w:val="00EE14DA"/>
    <w:rsid w:val="00EE335F"/>
    <w:rsid w:val="00EE3527"/>
    <w:rsid w:val="00EE3604"/>
    <w:rsid w:val="00EE47CE"/>
    <w:rsid w:val="00EE6253"/>
    <w:rsid w:val="00EE6479"/>
    <w:rsid w:val="00EF0131"/>
    <w:rsid w:val="00EF0132"/>
    <w:rsid w:val="00EF0AA0"/>
    <w:rsid w:val="00EF1B66"/>
    <w:rsid w:val="00EF2259"/>
    <w:rsid w:val="00EF25FF"/>
    <w:rsid w:val="00EF2697"/>
    <w:rsid w:val="00EF3B70"/>
    <w:rsid w:val="00EF3BF0"/>
    <w:rsid w:val="00EF4195"/>
    <w:rsid w:val="00EF465C"/>
    <w:rsid w:val="00EF488D"/>
    <w:rsid w:val="00EF4E62"/>
    <w:rsid w:val="00EF52EE"/>
    <w:rsid w:val="00EF6362"/>
    <w:rsid w:val="00EF6517"/>
    <w:rsid w:val="00EF6583"/>
    <w:rsid w:val="00F0021E"/>
    <w:rsid w:val="00F00B58"/>
    <w:rsid w:val="00F00FE0"/>
    <w:rsid w:val="00F015E8"/>
    <w:rsid w:val="00F03156"/>
    <w:rsid w:val="00F03198"/>
    <w:rsid w:val="00F031E7"/>
    <w:rsid w:val="00F03B24"/>
    <w:rsid w:val="00F06A72"/>
    <w:rsid w:val="00F06DC1"/>
    <w:rsid w:val="00F0724E"/>
    <w:rsid w:val="00F10309"/>
    <w:rsid w:val="00F11255"/>
    <w:rsid w:val="00F11995"/>
    <w:rsid w:val="00F11A8E"/>
    <w:rsid w:val="00F1273F"/>
    <w:rsid w:val="00F12DEF"/>
    <w:rsid w:val="00F131A5"/>
    <w:rsid w:val="00F1322B"/>
    <w:rsid w:val="00F13E0B"/>
    <w:rsid w:val="00F1435D"/>
    <w:rsid w:val="00F14583"/>
    <w:rsid w:val="00F14E1D"/>
    <w:rsid w:val="00F17FBD"/>
    <w:rsid w:val="00F20BBE"/>
    <w:rsid w:val="00F216D4"/>
    <w:rsid w:val="00F217C9"/>
    <w:rsid w:val="00F221A2"/>
    <w:rsid w:val="00F22B40"/>
    <w:rsid w:val="00F2331C"/>
    <w:rsid w:val="00F23963"/>
    <w:rsid w:val="00F2489C"/>
    <w:rsid w:val="00F253F1"/>
    <w:rsid w:val="00F25962"/>
    <w:rsid w:val="00F25A07"/>
    <w:rsid w:val="00F262A3"/>
    <w:rsid w:val="00F262C4"/>
    <w:rsid w:val="00F26A61"/>
    <w:rsid w:val="00F26DD6"/>
    <w:rsid w:val="00F27492"/>
    <w:rsid w:val="00F27ED2"/>
    <w:rsid w:val="00F30CF7"/>
    <w:rsid w:val="00F316B9"/>
    <w:rsid w:val="00F31948"/>
    <w:rsid w:val="00F31B3E"/>
    <w:rsid w:val="00F321F3"/>
    <w:rsid w:val="00F33E6A"/>
    <w:rsid w:val="00F34255"/>
    <w:rsid w:val="00F343B5"/>
    <w:rsid w:val="00F34586"/>
    <w:rsid w:val="00F40881"/>
    <w:rsid w:val="00F41D0F"/>
    <w:rsid w:val="00F430D9"/>
    <w:rsid w:val="00F43979"/>
    <w:rsid w:val="00F44783"/>
    <w:rsid w:val="00F45CF9"/>
    <w:rsid w:val="00F46761"/>
    <w:rsid w:val="00F46BCF"/>
    <w:rsid w:val="00F47F12"/>
    <w:rsid w:val="00F50977"/>
    <w:rsid w:val="00F51644"/>
    <w:rsid w:val="00F516F5"/>
    <w:rsid w:val="00F516FC"/>
    <w:rsid w:val="00F517E0"/>
    <w:rsid w:val="00F55DD6"/>
    <w:rsid w:val="00F55FF2"/>
    <w:rsid w:val="00F56061"/>
    <w:rsid w:val="00F5761B"/>
    <w:rsid w:val="00F60014"/>
    <w:rsid w:val="00F60582"/>
    <w:rsid w:val="00F60BF9"/>
    <w:rsid w:val="00F60C0A"/>
    <w:rsid w:val="00F60C7C"/>
    <w:rsid w:val="00F60F1E"/>
    <w:rsid w:val="00F61226"/>
    <w:rsid w:val="00F61439"/>
    <w:rsid w:val="00F61464"/>
    <w:rsid w:val="00F61D2B"/>
    <w:rsid w:val="00F654AB"/>
    <w:rsid w:val="00F658A7"/>
    <w:rsid w:val="00F65FA3"/>
    <w:rsid w:val="00F66C05"/>
    <w:rsid w:val="00F66CD0"/>
    <w:rsid w:val="00F676DA"/>
    <w:rsid w:val="00F67E46"/>
    <w:rsid w:val="00F706E3"/>
    <w:rsid w:val="00F71581"/>
    <w:rsid w:val="00F71C2C"/>
    <w:rsid w:val="00F7268E"/>
    <w:rsid w:val="00F732E7"/>
    <w:rsid w:val="00F73928"/>
    <w:rsid w:val="00F74D23"/>
    <w:rsid w:val="00F75619"/>
    <w:rsid w:val="00F7619A"/>
    <w:rsid w:val="00F76E15"/>
    <w:rsid w:val="00F7701F"/>
    <w:rsid w:val="00F77C67"/>
    <w:rsid w:val="00F81770"/>
    <w:rsid w:val="00F82075"/>
    <w:rsid w:val="00F830E7"/>
    <w:rsid w:val="00F834CC"/>
    <w:rsid w:val="00F835BE"/>
    <w:rsid w:val="00F83928"/>
    <w:rsid w:val="00F8607E"/>
    <w:rsid w:val="00F87D38"/>
    <w:rsid w:val="00F9087C"/>
    <w:rsid w:val="00F908C8"/>
    <w:rsid w:val="00F90B42"/>
    <w:rsid w:val="00F90DB4"/>
    <w:rsid w:val="00F90DC1"/>
    <w:rsid w:val="00F90F5E"/>
    <w:rsid w:val="00F92325"/>
    <w:rsid w:val="00F92B25"/>
    <w:rsid w:val="00F92DE3"/>
    <w:rsid w:val="00F92F30"/>
    <w:rsid w:val="00F93732"/>
    <w:rsid w:val="00F941D8"/>
    <w:rsid w:val="00F950D5"/>
    <w:rsid w:val="00F957B9"/>
    <w:rsid w:val="00F96450"/>
    <w:rsid w:val="00F96A4E"/>
    <w:rsid w:val="00F97BAF"/>
    <w:rsid w:val="00FA0A3C"/>
    <w:rsid w:val="00FA0F9B"/>
    <w:rsid w:val="00FA2130"/>
    <w:rsid w:val="00FA2667"/>
    <w:rsid w:val="00FA2EB6"/>
    <w:rsid w:val="00FA3BF5"/>
    <w:rsid w:val="00FA3DE1"/>
    <w:rsid w:val="00FA47C9"/>
    <w:rsid w:val="00FA495E"/>
    <w:rsid w:val="00FA56D4"/>
    <w:rsid w:val="00FA59F6"/>
    <w:rsid w:val="00FA6199"/>
    <w:rsid w:val="00FA62F2"/>
    <w:rsid w:val="00FA634F"/>
    <w:rsid w:val="00FA6CD3"/>
    <w:rsid w:val="00FA783A"/>
    <w:rsid w:val="00FA7D97"/>
    <w:rsid w:val="00FB0C16"/>
    <w:rsid w:val="00FB0CBC"/>
    <w:rsid w:val="00FB1272"/>
    <w:rsid w:val="00FB181B"/>
    <w:rsid w:val="00FB1D8C"/>
    <w:rsid w:val="00FB21B1"/>
    <w:rsid w:val="00FB274B"/>
    <w:rsid w:val="00FB2A4B"/>
    <w:rsid w:val="00FB2AEB"/>
    <w:rsid w:val="00FB2DD1"/>
    <w:rsid w:val="00FB35BB"/>
    <w:rsid w:val="00FB3C7D"/>
    <w:rsid w:val="00FB3CA9"/>
    <w:rsid w:val="00FB4084"/>
    <w:rsid w:val="00FB4213"/>
    <w:rsid w:val="00FB43E3"/>
    <w:rsid w:val="00FB486C"/>
    <w:rsid w:val="00FB5809"/>
    <w:rsid w:val="00FB6D96"/>
    <w:rsid w:val="00FB7FCC"/>
    <w:rsid w:val="00FC0FAE"/>
    <w:rsid w:val="00FC1F63"/>
    <w:rsid w:val="00FC23F5"/>
    <w:rsid w:val="00FC307B"/>
    <w:rsid w:val="00FC3321"/>
    <w:rsid w:val="00FC344E"/>
    <w:rsid w:val="00FC3BCA"/>
    <w:rsid w:val="00FC55EF"/>
    <w:rsid w:val="00FC5B13"/>
    <w:rsid w:val="00FC5E3B"/>
    <w:rsid w:val="00FC60A1"/>
    <w:rsid w:val="00FC655F"/>
    <w:rsid w:val="00FC68E0"/>
    <w:rsid w:val="00FC6AD0"/>
    <w:rsid w:val="00FC7E9A"/>
    <w:rsid w:val="00FD0BF3"/>
    <w:rsid w:val="00FD0D2C"/>
    <w:rsid w:val="00FD0E9A"/>
    <w:rsid w:val="00FD1577"/>
    <w:rsid w:val="00FD1585"/>
    <w:rsid w:val="00FD16D8"/>
    <w:rsid w:val="00FD1991"/>
    <w:rsid w:val="00FD1F40"/>
    <w:rsid w:val="00FD2341"/>
    <w:rsid w:val="00FD2A82"/>
    <w:rsid w:val="00FD2D93"/>
    <w:rsid w:val="00FD3094"/>
    <w:rsid w:val="00FD333C"/>
    <w:rsid w:val="00FD36EC"/>
    <w:rsid w:val="00FD3856"/>
    <w:rsid w:val="00FD39FC"/>
    <w:rsid w:val="00FD4763"/>
    <w:rsid w:val="00FD5100"/>
    <w:rsid w:val="00FD62EE"/>
    <w:rsid w:val="00FD6C9C"/>
    <w:rsid w:val="00FD73EC"/>
    <w:rsid w:val="00FD76A5"/>
    <w:rsid w:val="00FD7EAF"/>
    <w:rsid w:val="00FE0205"/>
    <w:rsid w:val="00FE1864"/>
    <w:rsid w:val="00FE1C14"/>
    <w:rsid w:val="00FE2635"/>
    <w:rsid w:val="00FE29F9"/>
    <w:rsid w:val="00FE3017"/>
    <w:rsid w:val="00FE4036"/>
    <w:rsid w:val="00FE40DD"/>
    <w:rsid w:val="00FE4899"/>
    <w:rsid w:val="00FE4CD1"/>
    <w:rsid w:val="00FE54A7"/>
    <w:rsid w:val="00FE55C2"/>
    <w:rsid w:val="00FF1079"/>
    <w:rsid w:val="00FF1182"/>
    <w:rsid w:val="00FF1568"/>
    <w:rsid w:val="00FF176C"/>
    <w:rsid w:val="00FF17F7"/>
    <w:rsid w:val="00FF2BDC"/>
    <w:rsid w:val="00FF2BE4"/>
    <w:rsid w:val="00FF3EB1"/>
    <w:rsid w:val="00FF4369"/>
    <w:rsid w:val="00FF45B3"/>
    <w:rsid w:val="00FF4712"/>
    <w:rsid w:val="00FF598E"/>
    <w:rsid w:val="00FF5DAD"/>
    <w:rsid w:val="00FF6732"/>
    <w:rsid w:val="00FF7978"/>
    <w:rsid w:val="01162389"/>
    <w:rsid w:val="02F4735A"/>
    <w:rsid w:val="047563BF"/>
    <w:rsid w:val="05561202"/>
    <w:rsid w:val="06A907A0"/>
    <w:rsid w:val="07686133"/>
    <w:rsid w:val="07B45450"/>
    <w:rsid w:val="0C1A784C"/>
    <w:rsid w:val="0E24538F"/>
    <w:rsid w:val="0FB45B98"/>
    <w:rsid w:val="0FBC7598"/>
    <w:rsid w:val="11400FF3"/>
    <w:rsid w:val="1272252E"/>
    <w:rsid w:val="12AD0106"/>
    <w:rsid w:val="1324792E"/>
    <w:rsid w:val="14E54E9B"/>
    <w:rsid w:val="15F80283"/>
    <w:rsid w:val="1787048B"/>
    <w:rsid w:val="188C0925"/>
    <w:rsid w:val="18BC4164"/>
    <w:rsid w:val="197B520E"/>
    <w:rsid w:val="19D021DB"/>
    <w:rsid w:val="1B817CB4"/>
    <w:rsid w:val="1B8D003A"/>
    <w:rsid w:val="20126BD3"/>
    <w:rsid w:val="201300F7"/>
    <w:rsid w:val="208C2B4A"/>
    <w:rsid w:val="20D65FDF"/>
    <w:rsid w:val="25997A40"/>
    <w:rsid w:val="26A5448A"/>
    <w:rsid w:val="26C82483"/>
    <w:rsid w:val="295D729E"/>
    <w:rsid w:val="2B703976"/>
    <w:rsid w:val="2C2B5431"/>
    <w:rsid w:val="2C2C11A9"/>
    <w:rsid w:val="2C532BDA"/>
    <w:rsid w:val="2E0B279D"/>
    <w:rsid w:val="2FC21DA8"/>
    <w:rsid w:val="2FC82F97"/>
    <w:rsid w:val="31FD7870"/>
    <w:rsid w:val="34936269"/>
    <w:rsid w:val="358317FB"/>
    <w:rsid w:val="358B2E3D"/>
    <w:rsid w:val="36632192"/>
    <w:rsid w:val="36747AD2"/>
    <w:rsid w:val="37705606"/>
    <w:rsid w:val="3A43428E"/>
    <w:rsid w:val="3DE60FBA"/>
    <w:rsid w:val="3F3F4E0D"/>
    <w:rsid w:val="404A3387"/>
    <w:rsid w:val="40E02836"/>
    <w:rsid w:val="427C033D"/>
    <w:rsid w:val="42F1070F"/>
    <w:rsid w:val="45D93CF8"/>
    <w:rsid w:val="476A2E5A"/>
    <w:rsid w:val="480C42AF"/>
    <w:rsid w:val="48C04785"/>
    <w:rsid w:val="493059DD"/>
    <w:rsid w:val="4950607F"/>
    <w:rsid w:val="49601350"/>
    <w:rsid w:val="4A0924C2"/>
    <w:rsid w:val="4A5672E6"/>
    <w:rsid w:val="4DD07EF0"/>
    <w:rsid w:val="4F774CCB"/>
    <w:rsid w:val="514C730E"/>
    <w:rsid w:val="52377DDC"/>
    <w:rsid w:val="52F1442F"/>
    <w:rsid w:val="531C4CFC"/>
    <w:rsid w:val="53861E2B"/>
    <w:rsid w:val="54A23D7A"/>
    <w:rsid w:val="55D32512"/>
    <w:rsid w:val="57174680"/>
    <w:rsid w:val="588D4C42"/>
    <w:rsid w:val="5E3B2A02"/>
    <w:rsid w:val="60840005"/>
    <w:rsid w:val="63191C96"/>
    <w:rsid w:val="6400549C"/>
    <w:rsid w:val="64910878"/>
    <w:rsid w:val="651D7774"/>
    <w:rsid w:val="66FD2B58"/>
    <w:rsid w:val="68273612"/>
    <w:rsid w:val="68F66CBC"/>
    <w:rsid w:val="6ACB7804"/>
    <w:rsid w:val="6CCE0EE6"/>
    <w:rsid w:val="6DD85D91"/>
    <w:rsid w:val="6ECE19F3"/>
    <w:rsid w:val="6F5B1156"/>
    <w:rsid w:val="7075449A"/>
    <w:rsid w:val="76D11CFE"/>
    <w:rsid w:val="76EC6B38"/>
    <w:rsid w:val="7751784F"/>
    <w:rsid w:val="78C1325B"/>
    <w:rsid w:val="7A0B3779"/>
    <w:rsid w:val="7B407452"/>
    <w:rsid w:val="7D5B4A17"/>
    <w:rsid w:val="7EA80C70"/>
    <w:rsid w:val="7EDB5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qFormat="1" w:unhideWhenUsed="0" w:uiPriority="0" w:semiHidden="0" w:name="toa heading"/>
    <w:lsdException w:qFormat="1" w:uiPriority="0" w:semiHidden="0" w:name="List"/>
    <w:lsdException w:unhideWhenUsed="0" w:uiPriority="0" w:semiHidden="0" w:name="List Bullet"/>
    <w:lsdException w:qFormat="1"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iPriority="0" w:semiHidden="0" w:name="List Bullet 2"/>
    <w:lsdException w:qFormat="1"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link w:val="95"/>
    <w:autoRedefine/>
    <w:qFormat/>
    <w:uiPriority w:val="0"/>
    <w:pPr>
      <w:keepNext/>
      <w:keepLines/>
      <w:spacing w:before="260" w:after="260" w:line="500" w:lineRule="exact"/>
      <w:jc w:val="center"/>
      <w:outlineLvl w:val="0"/>
    </w:pPr>
    <w:rPr>
      <w:b/>
      <w:bCs/>
      <w:kern w:val="44"/>
      <w:sz w:val="32"/>
      <w:szCs w:val="44"/>
    </w:rPr>
  </w:style>
  <w:style w:type="paragraph" w:styleId="5">
    <w:name w:val="heading 2"/>
    <w:basedOn w:val="1"/>
    <w:next w:val="1"/>
    <w:link w:val="76"/>
    <w:autoRedefine/>
    <w:qFormat/>
    <w:uiPriority w:val="0"/>
    <w:pPr>
      <w:keepNext/>
      <w:keepLines/>
      <w:spacing w:before="260" w:after="260" w:line="500" w:lineRule="exact"/>
      <w:jc w:val="center"/>
      <w:outlineLvl w:val="1"/>
    </w:pPr>
    <w:rPr>
      <w:rFonts w:ascii="@仿宋_GB2312" w:hAnsi="@仿宋_GB2312"/>
      <w:b/>
      <w:bCs/>
      <w:sz w:val="28"/>
      <w:szCs w:val="32"/>
    </w:rPr>
  </w:style>
  <w:style w:type="paragraph" w:styleId="6">
    <w:name w:val="heading 3"/>
    <w:basedOn w:val="1"/>
    <w:next w:val="1"/>
    <w:link w:val="115"/>
    <w:autoRedefine/>
    <w:qFormat/>
    <w:uiPriority w:val="0"/>
    <w:pPr>
      <w:keepNext/>
      <w:keepLines/>
      <w:spacing w:before="260" w:after="260" w:line="500" w:lineRule="exact"/>
      <w:jc w:val="center"/>
      <w:outlineLvl w:val="2"/>
    </w:pPr>
    <w:rPr>
      <w:rFonts w:ascii="@仿宋_GB2312"/>
      <w:b/>
      <w:bCs/>
      <w:sz w:val="30"/>
      <w:szCs w:val="32"/>
    </w:rPr>
  </w:style>
  <w:style w:type="paragraph" w:styleId="7">
    <w:name w:val="heading 4"/>
    <w:basedOn w:val="1"/>
    <w:next w:val="1"/>
    <w:link w:val="96"/>
    <w:autoRedefine/>
    <w:qFormat/>
    <w:uiPriority w:val="0"/>
    <w:pPr>
      <w:keepNext/>
      <w:keepLines/>
      <w:spacing w:before="280" w:after="290" w:line="376" w:lineRule="auto"/>
      <w:outlineLvl w:val="3"/>
    </w:pPr>
    <w:rPr>
      <w:rFonts w:ascii="@仿宋_GB2312" w:hAnsi="@仿宋_GB2312" w:eastAsia="@仿宋_GB2312"/>
      <w:b/>
      <w:bCs/>
      <w:sz w:val="28"/>
      <w:szCs w:val="28"/>
    </w:rPr>
  </w:style>
  <w:style w:type="paragraph" w:styleId="8">
    <w:name w:val="heading 5"/>
    <w:basedOn w:val="1"/>
    <w:next w:val="1"/>
    <w:link w:val="91"/>
    <w:autoRedefine/>
    <w:qFormat/>
    <w:uiPriority w:val="0"/>
    <w:pPr>
      <w:keepNext/>
      <w:outlineLvl w:val="4"/>
    </w:pPr>
    <w:rPr>
      <w:rFonts w:ascii="@仿宋_GB2312" w:hAnsi="@仿宋_GB2312"/>
      <w:bCs/>
      <w:sz w:val="28"/>
    </w:rPr>
  </w:style>
  <w:style w:type="paragraph" w:styleId="9">
    <w:name w:val="heading 6"/>
    <w:basedOn w:val="1"/>
    <w:next w:val="1"/>
    <w:link w:val="92"/>
    <w:autoRedefine/>
    <w:qFormat/>
    <w:uiPriority w:val="0"/>
    <w:pPr>
      <w:keepNext/>
      <w:autoSpaceDE w:val="0"/>
      <w:autoSpaceDN w:val="0"/>
      <w:adjustRightInd w:val="0"/>
      <w:spacing w:before="120" w:beforeLines="50" w:after="120" w:afterLines="50" w:line="300" w:lineRule="exact"/>
      <w:jc w:val="center"/>
      <w:outlineLvl w:val="5"/>
    </w:pPr>
    <w:rPr>
      <w:rFonts w:ascii="@仿宋_GB2312" w:hAnsi="@仿宋_GB2312"/>
      <w:kern w:val="0"/>
      <w:sz w:val="28"/>
    </w:rPr>
  </w:style>
  <w:style w:type="paragraph" w:styleId="10">
    <w:name w:val="heading 7"/>
    <w:basedOn w:val="1"/>
    <w:next w:val="1"/>
    <w:link w:val="69"/>
    <w:autoRedefine/>
    <w:qFormat/>
    <w:uiPriority w:val="0"/>
    <w:pPr>
      <w:keepNext/>
      <w:keepLines/>
      <w:spacing w:before="240" w:after="64" w:line="320" w:lineRule="auto"/>
      <w:ind w:right="-24" w:rightChars="-10" w:firstLine="464" w:firstLineChars="225"/>
      <w:jc w:val="left"/>
      <w:outlineLvl w:val="6"/>
    </w:pPr>
    <w:rPr>
      <w:rFonts w:ascii="@仿宋_GB2312" w:hAnsi="@仿宋_GB2312" w:eastAsia="@仿宋_GB2312" w:cs="@仿宋_GB2312"/>
      <w:b/>
      <w:bCs/>
      <w:spacing w:val="-4"/>
      <w:sz w:val="24"/>
      <w:szCs w:val="24"/>
    </w:rPr>
  </w:style>
  <w:style w:type="paragraph" w:styleId="11">
    <w:name w:val="heading 8"/>
    <w:basedOn w:val="1"/>
    <w:next w:val="1"/>
    <w:link w:val="116"/>
    <w:autoRedefine/>
    <w:qFormat/>
    <w:uiPriority w:val="0"/>
    <w:pPr>
      <w:keepNext/>
      <w:keepLines/>
      <w:tabs>
        <w:tab w:val="left" w:pos="0"/>
        <w:tab w:val="left" w:pos="3360"/>
      </w:tabs>
      <w:adjustRightInd w:val="0"/>
      <w:spacing w:line="360" w:lineRule="atLeast"/>
      <w:ind w:left="3360" w:hanging="420"/>
      <w:jc w:val="left"/>
      <w:outlineLvl w:val="7"/>
    </w:pPr>
    <w:rPr>
      <w:kern w:val="0"/>
      <w:sz w:val="24"/>
    </w:rPr>
  </w:style>
  <w:style w:type="paragraph" w:styleId="12">
    <w:name w:val="heading 9"/>
    <w:basedOn w:val="1"/>
    <w:next w:val="1"/>
    <w:link w:val="87"/>
    <w:autoRedefine/>
    <w:qFormat/>
    <w:uiPriority w:val="0"/>
    <w:pPr>
      <w:keepNext/>
      <w:keepLines/>
      <w:tabs>
        <w:tab w:val="left" w:pos="0"/>
        <w:tab w:val="left" w:pos="3780"/>
      </w:tabs>
      <w:adjustRightInd w:val="0"/>
      <w:spacing w:line="360" w:lineRule="atLeast"/>
      <w:ind w:left="3780" w:hanging="420"/>
      <w:jc w:val="left"/>
      <w:outlineLvl w:val="8"/>
    </w:pPr>
    <w:rPr>
      <w:kern w:val="0"/>
      <w:sz w:val="24"/>
    </w:rPr>
  </w:style>
  <w:style w:type="character" w:default="1" w:styleId="60">
    <w:name w:val="Default Paragraph Font"/>
    <w:autoRedefine/>
    <w:semiHidden/>
    <w:unhideWhenUsed/>
    <w:qFormat/>
    <w:uiPriority w:val="1"/>
  </w:style>
  <w:style w:type="table" w:default="1" w:styleId="5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link w:val="97"/>
    <w:autoRedefine/>
    <w:qFormat/>
    <w:uiPriority w:val="0"/>
    <w:rPr>
      <w:rFonts w:ascii="@仿宋_GB2312" w:hAnsi="@仿宋_GB2312"/>
      <w:sz w:val="28"/>
    </w:rPr>
  </w:style>
  <w:style w:type="paragraph" w:styleId="3">
    <w:name w:val="toc 2"/>
    <w:basedOn w:val="1"/>
    <w:next w:val="1"/>
    <w:autoRedefine/>
    <w:qFormat/>
    <w:uiPriority w:val="39"/>
    <w:pPr>
      <w:ind w:left="210"/>
      <w:jc w:val="left"/>
    </w:pPr>
    <w:rPr>
      <w:smallCaps/>
      <w:sz w:val="18"/>
      <w:szCs w:val="24"/>
    </w:rPr>
  </w:style>
  <w:style w:type="paragraph" w:styleId="13">
    <w:name w:val="toc 7"/>
    <w:basedOn w:val="1"/>
    <w:next w:val="1"/>
    <w:autoRedefine/>
    <w:qFormat/>
    <w:uiPriority w:val="0"/>
    <w:pPr>
      <w:ind w:left="1260"/>
      <w:jc w:val="left"/>
    </w:pPr>
    <w:rPr>
      <w:szCs w:val="21"/>
    </w:rPr>
  </w:style>
  <w:style w:type="paragraph" w:styleId="14">
    <w:name w:val="table of authorities"/>
    <w:basedOn w:val="1"/>
    <w:next w:val="1"/>
    <w:autoRedefine/>
    <w:qFormat/>
    <w:uiPriority w:val="0"/>
    <w:pPr>
      <w:ind w:left="420" w:leftChars="200"/>
    </w:pPr>
  </w:style>
  <w:style w:type="paragraph" w:styleId="15">
    <w:name w:val="index 8"/>
    <w:basedOn w:val="1"/>
    <w:next w:val="1"/>
    <w:autoRedefine/>
    <w:qFormat/>
    <w:uiPriority w:val="0"/>
    <w:pPr>
      <w:ind w:left="1400" w:leftChars="1400"/>
    </w:pPr>
  </w:style>
  <w:style w:type="paragraph" w:styleId="16">
    <w:name w:val="List Number"/>
    <w:basedOn w:val="1"/>
    <w:autoRedefine/>
    <w:unhideWhenUsed/>
    <w:qFormat/>
    <w:uiPriority w:val="0"/>
    <w:rPr>
      <w:rFonts w:ascii="@仿宋_GB2312" w:hAnsi="@仿宋_GB2312" w:eastAsia="@仿宋_GB2312"/>
      <w:szCs w:val="24"/>
    </w:rPr>
  </w:style>
  <w:style w:type="paragraph" w:styleId="17">
    <w:name w:val="Normal Indent"/>
    <w:basedOn w:val="1"/>
    <w:link w:val="84"/>
    <w:autoRedefine/>
    <w:qFormat/>
    <w:uiPriority w:val="0"/>
    <w:pPr>
      <w:spacing w:after="156"/>
      <w:ind w:firstLine="420"/>
    </w:pPr>
    <w:rPr>
      <w:rFonts w:ascii="@仿宋_GB2312" w:hAnsi="@仿宋_GB2312" w:cs="@仿宋_GB2312"/>
      <w:sz w:val="24"/>
      <w:szCs w:val="24"/>
    </w:rPr>
  </w:style>
  <w:style w:type="paragraph" w:styleId="18">
    <w:name w:val="index 5"/>
    <w:basedOn w:val="1"/>
    <w:next w:val="1"/>
    <w:autoRedefine/>
    <w:qFormat/>
    <w:uiPriority w:val="0"/>
    <w:pPr>
      <w:ind w:left="800" w:leftChars="800"/>
    </w:pPr>
  </w:style>
  <w:style w:type="paragraph" w:styleId="19">
    <w:name w:val="Document Map"/>
    <w:basedOn w:val="1"/>
    <w:link w:val="98"/>
    <w:autoRedefine/>
    <w:qFormat/>
    <w:uiPriority w:val="0"/>
    <w:pPr>
      <w:shd w:val="clear" w:color="auto" w:fill="000080"/>
    </w:pPr>
  </w:style>
  <w:style w:type="paragraph" w:styleId="20">
    <w:name w:val="toa heading"/>
    <w:basedOn w:val="1"/>
    <w:next w:val="1"/>
    <w:autoRedefine/>
    <w:qFormat/>
    <w:uiPriority w:val="0"/>
    <w:pPr>
      <w:spacing w:before="120"/>
    </w:pPr>
    <w:rPr>
      <w:rFonts w:ascii="@仿宋_GB2312" w:hAnsi="@仿宋_GB2312"/>
      <w:b/>
      <w:bCs/>
      <w:szCs w:val="24"/>
    </w:rPr>
  </w:style>
  <w:style w:type="paragraph" w:styleId="21">
    <w:name w:val="annotation text"/>
    <w:basedOn w:val="1"/>
    <w:link w:val="74"/>
    <w:autoRedefine/>
    <w:qFormat/>
    <w:uiPriority w:val="0"/>
    <w:pPr>
      <w:jc w:val="left"/>
    </w:pPr>
  </w:style>
  <w:style w:type="paragraph" w:styleId="22">
    <w:name w:val="index 6"/>
    <w:basedOn w:val="1"/>
    <w:next w:val="1"/>
    <w:autoRedefine/>
    <w:qFormat/>
    <w:uiPriority w:val="0"/>
    <w:pPr>
      <w:ind w:left="1000" w:leftChars="1000"/>
    </w:pPr>
  </w:style>
  <w:style w:type="paragraph" w:styleId="23">
    <w:name w:val="Body Text 3"/>
    <w:basedOn w:val="1"/>
    <w:link w:val="94"/>
    <w:autoRedefine/>
    <w:qFormat/>
    <w:uiPriority w:val="0"/>
    <w:rPr>
      <w:rFonts w:ascii="@仿宋_GB2312" w:hAnsi="@仿宋_GB2312" w:eastAsia="@仿宋_GB2312"/>
      <w:b/>
      <w:sz w:val="28"/>
    </w:rPr>
  </w:style>
  <w:style w:type="paragraph" w:styleId="24">
    <w:name w:val="List Bullet 3"/>
    <w:basedOn w:val="1"/>
    <w:autoRedefine/>
    <w:unhideWhenUsed/>
    <w:qFormat/>
    <w:uiPriority w:val="0"/>
    <w:pPr>
      <w:adjustRightInd w:val="0"/>
      <w:spacing w:line="360" w:lineRule="atLeast"/>
      <w:contextualSpacing/>
      <w:jc w:val="left"/>
    </w:pPr>
    <w:rPr>
      <w:kern w:val="0"/>
      <w:sz w:val="24"/>
    </w:rPr>
  </w:style>
  <w:style w:type="paragraph" w:styleId="25">
    <w:name w:val="Body Text Indent"/>
    <w:basedOn w:val="1"/>
    <w:next w:val="26"/>
    <w:link w:val="72"/>
    <w:autoRedefine/>
    <w:qFormat/>
    <w:uiPriority w:val="0"/>
    <w:pPr>
      <w:ind w:firstLine="645"/>
    </w:pPr>
    <w:rPr>
      <w:rFonts w:ascii="@仿宋_GB2312" w:eastAsia="@仿宋_GB2312"/>
      <w:sz w:val="32"/>
    </w:rPr>
  </w:style>
  <w:style w:type="paragraph" w:styleId="26">
    <w:name w:val="envelope return"/>
    <w:next w:val="13"/>
    <w:autoRedefine/>
    <w:qFormat/>
    <w:uiPriority w:val="0"/>
    <w:pPr>
      <w:widowControl w:val="0"/>
      <w:suppressAutoHyphens/>
      <w:snapToGrid w:val="0"/>
      <w:jc w:val="both"/>
    </w:pPr>
    <w:rPr>
      <w:rFonts w:ascii="Arial" w:hAnsi="Arial" w:eastAsia="宋体" w:cs="Times New Roman"/>
      <w:kern w:val="1"/>
      <w:sz w:val="21"/>
      <w:szCs w:val="21"/>
      <w:lang w:val="en-US" w:eastAsia="ar-SA" w:bidi="ar-SA"/>
    </w:rPr>
  </w:style>
  <w:style w:type="paragraph" w:styleId="27">
    <w:name w:val="Block Text"/>
    <w:basedOn w:val="1"/>
    <w:autoRedefine/>
    <w:qFormat/>
    <w:uiPriority w:val="0"/>
    <w:pPr>
      <w:spacing w:after="156"/>
    </w:pPr>
    <w:rPr>
      <w:rFonts w:ascii="@仿宋_GB2312" w:hAnsi="@仿宋_GB2312"/>
      <w:szCs w:val="22"/>
    </w:rPr>
  </w:style>
  <w:style w:type="paragraph" w:styleId="28">
    <w:name w:val="List Bullet 2"/>
    <w:basedOn w:val="1"/>
    <w:autoRedefine/>
    <w:unhideWhenUsed/>
    <w:qFormat/>
    <w:uiPriority w:val="0"/>
    <w:pPr>
      <w:adjustRightInd w:val="0"/>
      <w:spacing w:line="360" w:lineRule="atLeast"/>
      <w:jc w:val="left"/>
    </w:pPr>
    <w:rPr>
      <w:kern w:val="0"/>
      <w:sz w:val="24"/>
    </w:rPr>
  </w:style>
  <w:style w:type="paragraph" w:styleId="29">
    <w:name w:val="index 4"/>
    <w:basedOn w:val="1"/>
    <w:next w:val="1"/>
    <w:autoRedefine/>
    <w:qFormat/>
    <w:uiPriority w:val="0"/>
    <w:pPr>
      <w:ind w:left="600" w:leftChars="600"/>
    </w:pPr>
  </w:style>
  <w:style w:type="paragraph" w:styleId="30">
    <w:name w:val="toc 5"/>
    <w:basedOn w:val="1"/>
    <w:next w:val="1"/>
    <w:autoRedefine/>
    <w:qFormat/>
    <w:uiPriority w:val="0"/>
    <w:pPr>
      <w:ind w:left="840"/>
      <w:jc w:val="left"/>
    </w:pPr>
    <w:rPr>
      <w:szCs w:val="21"/>
    </w:rPr>
  </w:style>
  <w:style w:type="paragraph" w:styleId="31">
    <w:name w:val="toc 3"/>
    <w:basedOn w:val="1"/>
    <w:next w:val="1"/>
    <w:autoRedefine/>
    <w:qFormat/>
    <w:uiPriority w:val="39"/>
    <w:pPr>
      <w:tabs>
        <w:tab w:val="right" w:leader="dot" w:pos="9403"/>
      </w:tabs>
      <w:spacing w:line="300" w:lineRule="auto"/>
      <w:ind w:left="420"/>
      <w:jc w:val="left"/>
    </w:pPr>
    <w:rPr>
      <w:rFonts w:ascii="@仿宋_GB2312" w:hAnsi="@仿宋_GB2312"/>
      <w:iCs/>
      <w:sz w:val="18"/>
      <w:szCs w:val="24"/>
    </w:rPr>
  </w:style>
  <w:style w:type="paragraph" w:styleId="32">
    <w:name w:val="Plain Text"/>
    <w:basedOn w:val="1"/>
    <w:link w:val="110"/>
    <w:autoRedefine/>
    <w:qFormat/>
    <w:uiPriority w:val="99"/>
    <w:rPr>
      <w:rFonts w:ascii="@仿宋_GB2312" w:hAnsi="@仿宋_GB2312"/>
    </w:rPr>
  </w:style>
  <w:style w:type="paragraph" w:styleId="33">
    <w:name w:val="toc 8"/>
    <w:basedOn w:val="1"/>
    <w:next w:val="1"/>
    <w:autoRedefine/>
    <w:qFormat/>
    <w:uiPriority w:val="0"/>
    <w:pPr>
      <w:ind w:left="1470"/>
      <w:jc w:val="left"/>
    </w:pPr>
    <w:rPr>
      <w:szCs w:val="21"/>
    </w:rPr>
  </w:style>
  <w:style w:type="paragraph" w:styleId="34">
    <w:name w:val="index 3"/>
    <w:basedOn w:val="1"/>
    <w:next w:val="1"/>
    <w:autoRedefine/>
    <w:qFormat/>
    <w:uiPriority w:val="0"/>
    <w:pPr>
      <w:ind w:left="400" w:leftChars="400"/>
    </w:pPr>
  </w:style>
  <w:style w:type="paragraph" w:styleId="35">
    <w:name w:val="Date"/>
    <w:basedOn w:val="1"/>
    <w:next w:val="1"/>
    <w:link w:val="77"/>
    <w:autoRedefine/>
    <w:qFormat/>
    <w:uiPriority w:val="0"/>
    <w:rPr>
      <w:b/>
      <w:sz w:val="28"/>
    </w:rPr>
  </w:style>
  <w:style w:type="paragraph" w:styleId="36">
    <w:name w:val="Body Text Indent 2"/>
    <w:basedOn w:val="1"/>
    <w:link w:val="90"/>
    <w:autoRedefine/>
    <w:qFormat/>
    <w:uiPriority w:val="0"/>
    <w:pPr>
      <w:ind w:left="630" w:firstLine="645"/>
    </w:pPr>
    <w:rPr>
      <w:rFonts w:ascii="@仿宋_GB2312" w:hAnsi="@仿宋_GB2312" w:eastAsia="@仿宋_GB2312"/>
      <w:sz w:val="32"/>
    </w:rPr>
  </w:style>
  <w:style w:type="paragraph" w:styleId="37">
    <w:name w:val="Balloon Text"/>
    <w:basedOn w:val="1"/>
    <w:link w:val="114"/>
    <w:autoRedefine/>
    <w:qFormat/>
    <w:uiPriority w:val="0"/>
    <w:rPr>
      <w:sz w:val="18"/>
      <w:szCs w:val="18"/>
    </w:rPr>
  </w:style>
  <w:style w:type="paragraph" w:styleId="38">
    <w:name w:val="footer"/>
    <w:basedOn w:val="1"/>
    <w:link w:val="93"/>
    <w:autoRedefine/>
    <w:unhideWhenUsed/>
    <w:qFormat/>
    <w:uiPriority w:val="99"/>
    <w:pPr>
      <w:tabs>
        <w:tab w:val="center" w:pos="4153"/>
        <w:tab w:val="right" w:pos="8306"/>
      </w:tabs>
      <w:snapToGrid w:val="0"/>
      <w:jc w:val="left"/>
    </w:pPr>
    <w:rPr>
      <w:sz w:val="18"/>
      <w:szCs w:val="18"/>
    </w:rPr>
  </w:style>
  <w:style w:type="paragraph" w:styleId="39">
    <w:name w:val="header"/>
    <w:basedOn w:val="1"/>
    <w:link w:val="10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0">
    <w:name w:val="toc 1"/>
    <w:basedOn w:val="1"/>
    <w:next w:val="1"/>
    <w:autoRedefine/>
    <w:qFormat/>
    <w:uiPriority w:val="39"/>
    <w:pPr>
      <w:spacing w:before="120" w:after="120"/>
      <w:jc w:val="left"/>
    </w:pPr>
    <w:rPr>
      <w:caps/>
      <w:sz w:val="18"/>
      <w:szCs w:val="24"/>
    </w:rPr>
  </w:style>
  <w:style w:type="paragraph" w:styleId="41">
    <w:name w:val="toc 4"/>
    <w:basedOn w:val="1"/>
    <w:next w:val="1"/>
    <w:autoRedefine/>
    <w:qFormat/>
    <w:uiPriority w:val="0"/>
    <w:pPr>
      <w:ind w:left="630"/>
      <w:jc w:val="left"/>
    </w:pPr>
    <w:rPr>
      <w:szCs w:val="21"/>
    </w:rPr>
  </w:style>
  <w:style w:type="paragraph" w:styleId="42">
    <w:name w:val="index heading"/>
    <w:basedOn w:val="1"/>
    <w:next w:val="43"/>
    <w:autoRedefine/>
    <w:qFormat/>
    <w:uiPriority w:val="0"/>
  </w:style>
  <w:style w:type="paragraph" w:styleId="43">
    <w:name w:val="index 1"/>
    <w:basedOn w:val="1"/>
    <w:next w:val="1"/>
    <w:autoRedefine/>
    <w:qFormat/>
    <w:uiPriority w:val="0"/>
    <w:pPr>
      <w:jc w:val="center"/>
    </w:pPr>
    <w:rPr>
      <w:rFonts w:ascii="@仿宋_GB2312" w:eastAsia="@仿宋_GB2312"/>
      <w:b/>
      <w:bCs/>
      <w:sz w:val="28"/>
    </w:rPr>
  </w:style>
  <w:style w:type="paragraph" w:styleId="44">
    <w:name w:val="Subtitle"/>
    <w:basedOn w:val="1"/>
    <w:link w:val="75"/>
    <w:autoRedefine/>
    <w:qFormat/>
    <w:uiPriority w:val="0"/>
    <w:pPr>
      <w:adjustRightInd w:val="0"/>
      <w:spacing w:before="240" w:after="60" w:line="312" w:lineRule="atLeast"/>
      <w:jc w:val="center"/>
      <w:outlineLvl w:val="1"/>
    </w:pPr>
    <w:rPr>
      <w:rFonts w:ascii="@仿宋_GB2312" w:hAnsi="@仿宋_GB2312" w:cs="@仿宋_GB2312"/>
      <w:b/>
      <w:bCs/>
      <w:kern w:val="28"/>
      <w:sz w:val="32"/>
      <w:szCs w:val="32"/>
    </w:rPr>
  </w:style>
  <w:style w:type="paragraph" w:styleId="45">
    <w:name w:val="List"/>
    <w:basedOn w:val="1"/>
    <w:autoRedefine/>
    <w:unhideWhenUsed/>
    <w:qFormat/>
    <w:uiPriority w:val="0"/>
    <w:pPr>
      <w:ind w:left="420" w:hanging="420"/>
    </w:pPr>
  </w:style>
  <w:style w:type="paragraph" w:styleId="46">
    <w:name w:val="toc 6"/>
    <w:basedOn w:val="1"/>
    <w:next w:val="1"/>
    <w:autoRedefine/>
    <w:qFormat/>
    <w:uiPriority w:val="0"/>
    <w:pPr>
      <w:ind w:left="1050"/>
      <w:jc w:val="left"/>
    </w:pPr>
    <w:rPr>
      <w:szCs w:val="21"/>
    </w:rPr>
  </w:style>
  <w:style w:type="paragraph" w:styleId="47">
    <w:name w:val="Body Text Indent 3"/>
    <w:basedOn w:val="1"/>
    <w:link w:val="89"/>
    <w:autoRedefine/>
    <w:qFormat/>
    <w:uiPriority w:val="0"/>
    <w:pPr>
      <w:ind w:firstLine="645"/>
    </w:pPr>
    <w:rPr>
      <w:rFonts w:ascii="@仿宋_GB2312" w:hAnsi="@仿宋_GB2312" w:eastAsia="@仿宋_GB2312"/>
      <w:color w:val="000000"/>
      <w:sz w:val="30"/>
    </w:rPr>
  </w:style>
  <w:style w:type="paragraph" w:styleId="48">
    <w:name w:val="index 7"/>
    <w:basedOn w:val="1"/>
    <w:next w:val="1"/>
    <w:autoRedefine/>
    <w:qFormat/>
    <w:uiPriority w:val="0"/>
    <w:pPr>
      <w:ind w:left="1200" w:leftChars="1200"/>
    </w:pPr>
  </w:style>
  <w:style w:type="paragraph" w:styleId="49">
    <w:name w:val="index 9"/>
    <w:basedOn w:val="1"/>
    <w:next w:val="1"/>
    <w:autoRedefine/>
    <w:qFormat/>
    <w:uiPriority w:val="0"/>
    <w:pPr>
      <w:ind w:left="1600" w:leftChars="1600"/>
    </w:pPr>
  </w:style>
  <w:style w:type="paragraph" w:styleId="50">
    <w:name w:val="toc 9"/>
    <w:basedOn w:val="1"/>
    <w:next w:val="1"/>
    <w:autoRedefine/>
    <w:qFormat/>
    <w:uiPriority w:val="0"/>
    <w:pPr>
      <w:ind w:left="1680"/>
      <w:jc w:val="left"/>
    </w:pPr>
    <w:rPr>
      <w:szCs w:val="21"/>
    </w:rPr>
  </w:style>
  <w:style w:type="paragraph" w:styleId="51">
    <w:name w:val="Body Text 2"/>
    <w:basedOn w:val="1"/>
    <w:link w:val="78"/>
    <w:autoRedefine/>
    <w:qFormat/>
    <w:uiPriority w:val="0"/>
    <w:rPr>
      <w:rFonts w:ascii="@仿宋_GB2312" w:eastAsia="@仿宋_GB2312"/>
      <w:b/>
      <w:sz w:val="24"/>
    </w:rPr>
  </w:style>
  <w:style w:type="paragraph" w:styleId="52">
    <w:name w:val="Normal (Web)"/>
    <w:basedOn w:val="1"/>
    <w:autoRedefine/>
    <w:qFormat/>
    <w:uiPriority w:val="99"/>
    <w:pPr>
      <w:widowControl/>
      <w:spacing w:before="100" w:beforeAutospacing="1" w:after="100" w:afterAutospacing="1"/>
      <w:jc w:val="left"/>
    </w:pPr>
    <w:rPr>
      <w:rFonts w:ascii="@仿宋_GB2312" w:hAnsi="@仿宋_GB2312"/>
      <w:kern w:val="0"/>
      <w:sz w:val="24"/>
      <w:szCs w:val="24"/>
    </w:rPr>
  </w:style>
  <w:style w:type="paragraph" w:styleId="53">
    <w:name w:val="index 2"/>
    <w:basedOn w:val="1"/>
    <w:next w:val="1"/>
    <w:autoRedefine/>
    <w:qFormat/>
    <w:uiPriority w:val="0"/>
    <w:pPr>
      <w:ind w:left="200" w:leftChars="200"/>
    </w:pPr>
  </w:style>
  <w:style w:type="paragraph" w:styleId="54">
    <w:name w:val="Title"/>
    <w:basedOn w:val="1"/>
    <w:next w:val="1"/>
    <w:link w:val="99"/>
    <w:autoRedefine/>
    <w:qFormat/>
    <w:uiPriority w:val="0"/>
    <w:pPr>
      <w:tabs>
        <w:tab w:val="left" w:pos="425"/>
        <w:tab w:val="left" w:pos="840"/>
      </w:tabs>
      <w:spacing w:before="240" w:after="60"/>
      <w:ind w:left="425" w:hanging="425"/>
      <w:jc w:val="center"/>
      <w:outlineLvl w:val="0"/>
    </w:pPr>
    <w:rPr>
      <w:rFonts w:ascii="@仿宋_GB2312" w:hAnsi="@仿宋_GB2312" w:eastAsia="@仿宋_GB2312" w:cs="@仿宋_GB2312"/>
      <w:bCs/>
      <w:sz w:val="32"/>
      <w:szCs w:val="32"/>
    </w:rPr>
  </w:style>
  <w:style w:type="paragraph" w:styleId="55">
    <w:name w:val="annotation subject"/>
    <w:basedOn w:val="21"/>
    <w:next w:val="21"/>
    <w:link w:val="105"/>
    <w:autoRedefine/>
    <w:unhideWhenUsed/>
    <w:qFormat/>
    <w:uiPriority w:val="0"/>
    <w:pPr>
      <w:adjustRightInd w:val="0"/>
      <w:spacing w:line="360" w:lineRule="atLeast"/>
    </w:pPr>
    <w:rPr>
      <w:b/>
      <w:bCs/>
      <w:kern w:val="0"/>
      <w:sz w:val="24"/>
    </w:rPr>
  </w:style>
  <w:style w:type="paragraph" w:styleId="56">
    <w:name w:val="Body Text First Indent"/>
    <w:basedOn w:val="1"/>
    <w:link w:val="106"/>
    <w:autoRedefine/>
    <w:qFormat/>
    <w:uiPriority w:val="0"/>
    <w:pPr>
      <w:autoSpaceDE w:val="0"/>
      <w:autoSpaceDN w:val="0"/>
      <w:adjustRightInd w:val="0"/>
      <w:spacing w:line="360" w:lineRule="auto"/>
      <w:ind w:right="-24" w:rightChars="-10" w:firstLine="425" w:firstLineChars="225"/>
    </w:pPr>
    <w:rPr>
      <w:rFonts w:ascii="@仿宋_GB2312" w:hAnsi="@仿宋_GB2312" w:eastAsia="@仿宋_GB2312" w:cs="@仿宋_GB2312"/>
      <w:kern w:val="0"/>
      <w:sz w:val="24"/>
      <w:szCs w:val="32"/>
    </w:rPr>
  </w:style>
  <w:style w:type="paragraph" w:styleId="57">
    <w:name w:val="Body Text First Indent 2"/>
    <w:next w:val="1"/>
    <w:autoRedefine/>
    <w:qFormat/>
    <w:uiPriority w:val="0"/>
    <w:pPr>
      <w:widowControl w:val="0"/>
      <w:suppressAutoHyphens/>
      <w:snapToGrid w:val="0"/>
      <w:spacing w:after="120"/>
      <w:ind w:left="420" w:leftChars="200" w:firstLine="240" w:firstLineChars="200"/>
      <w:jc w:val="both"/>
    </w:pPr>
    <w:rPr>
      <w:rFonts w:ascii="Calibri" w:hAnsi="Calibri" w:eastAsia="宋体" w:cs="Times New Roman"/>
      <w:kern w:val="1"/>
      <w:sz w:val="21"/>
      <w:szCs w:val="24"/>
      <w:lang w:val="en-US" w:eastAsia="ar-SA" w:bidi="ar-SA"/>
    </w:rPr>
  </w:style>
  <w:style w:type="table" w:styleId="59">
    <w:name w:val="Table Grid"/>
    <w:basedOn w:val="5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1">
    <w:name w:val="Strong"/>
    <w:autoRedefine/>
    <w:qFormat/>
    <w:uiPriority w:val="0"/>
    <w:rPr>
      <w:b/>
      <w:bCs/>
    </w:rPr>
  </w:style>
  <w:style w:type="character" w:styleId="62">
    <w:name w:val="page number"/>
    <w:basedOn w:val="60"/>
    <w:autoRedefine/>
    <w:qFormat/>
    <w:uiPriority w:val="0"/>
  </w:style>
  <w:style w:type="character" w:styleId="63">
    <w:name w:val="FollowedHyperlink"/>
    <w:autoRedefine/>
    <w:qFormat/>
    <w:uiPriority w:val="99"/>
    <w:rPr>
      <w:color w:val="800080"/>
      <w:u w:val="single"/>
    </w:rPr>
  </w:style>
  <w:style w:type="character" w:styleId="64">
    <w:name w:val="Emphasis"/>
    <w:autoRedefine/>
    <w:qFormat/>
    <w:uiPriority w:val="0"/>
    <w:rPr>
      <w:color w:val="CC0033"/>
    </w:rPr>
  </w:style>
  <w:style w:type="character" w:styleId="65">
    <w:name w:val="Hyperlink"/>
    <w:autoRedefine/>
    <w:qFormat/>
    <w:uiPriority w:val="99"/>
    <w:rPr>
      <w:color w:val="0000FF"/>
      <w:u w:val="single"/>
    </w:rPr>
  </w:style>
  <w:style w:type="character" w:styleId="66">
    <w:name w:val="annotation reference"/>
    <w:autoRedefine/>
    <w:semiHidden/>
    <w:qFormat/>
    <w:uiPriority w:val="0"/>
    <w:rPr>
      <w:sz w:val="21"/>
      <w:szCs w:val="21"/>
    </w:rPr>
  </w:style>
  <w:style w:type="paragraph" w:customStyle="1" w:styleId="67">
    <w:name w:val="Default"/>
    <w:autoRedefine/>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68">
    <w:name w:val="正文文本缩进 Char1"/>
    <w:autoRedefine/>
    <w:qFormat/>
    <w:uiPriority w:val="0"/>
    <w:rPr>
      <w:kern w:val="2"/>
      <w:sz w:val="21"/>
      <w:szCs w:val="24"/>
    </w:rPr>
  </w:style>
  <w:style w:type="character" w:customStyle="1" w:styleId="69">
    <w:name w:val="标题 7 Char"/>
    <w:link w:val="10"/>
    <w:autoRedefine/>
    <w:qFormat/>
    <w:uiPriority w:val="0"/>
    <w:rPr>
      <w:rFonts w:ascii="@仿宋_GB2312" w:hAnsi="@仿宋_GB2312" w:eastAsia="@仿宋_GB2312" w:cs="@仿宋_GB2312"/>
      <w:b/>
      <w:bCs/>
      <w:spacing w:val="-4"/>
      <w:kern w:val="2"/>
      <w:sz w:val="24"/>
      <w:szCs w:val="24"/>
      <w:lang w:val="en-US" w:eastAsia="zh-CN" w:bidi="ar-SA"/>
    </w:rPr>
  </w:style>
  <w:style w:type="character" w:customStyle="1" w:styleId="70">
    <w:name w:val="末级 Char Char"/>
    <w:link w:val="71"/>
    <w:autoRedefine/>
    <w:qFormat/>
    <w:locked/>
    <w:uiPriority w:val="0"/>
    <w:rPr>
      <w:sz w:val="24"/>
      <w:szCs w:val="24"/>
      <w:lang w:bidi="ar-SA"/>
    </w:rPr>
  </w:style>
  <w:style w:type="paragraph" w:customStyle="1" w:styleId="71">
    <w:name w:val="末级"/>
    <w:basedOn w:val="1"/>
    <w:link w:val="70"/>
    <w:autoRedefine/>
    <w:qFormat/>
    <w:uiPriority w:val="0"/>
    <w:pPr>
      <w:tabs>
        <w:tab w:val="left" w:pos="964"/>
        <w:tab w:val="left" w:pos="2502"/>
      </w:tabs>
      <w:spacing w:line="360" w:lineRule="auto"/>
      <w:ind w:left="2502" w:hanging="432"/>
    </w:pPr>
    <w:rPr>
      <w:kern w:val="0"/>
      <w:sz w:val="24"/>
      <w:szCs w:val="24"/>
    </w:rPr>
  </w:style>
  <w:style w:type="character" w:customStyle="1" w:styleId="72">
    <w:name w:val="正文文本缩进 Char"/>
    <w:link w:val="25"/>
    <w:autoRedefine/>
    <w:qFormat/>
    <w:uiPriority w:val="0"/>
    <w:rPr>
      <w:rFonts w:ascii="@仿宋_GB2312" w:eastAsia="@仿宋_GB2312"/>
      <w:kern w:val="2"/>
      <w:sz w:val="32"/>
      <w:lang w:val="en-US" w:eastAsia="zh-CN" w:bidi="ar-SA"/>
    </w:rPr>
  </w:style>
  <w:style w:type="character" w:customStyle="1" w:styleId="73">
    <w:name w:val="Date Char"/>
    <w:autoRedefine/>
    <w:qFormat/>
    <w:locked/>
    <w:uiPriority w:val="0"/>
    <w:rPr>
      <w:rFonts w:eastAsia="@仿宋_GB2312"/>
      <w:b/>
      <w:kern w:val="2"/>
      <w:sz w:val="28"/>
      <w:lang w:val="en-US" w:eastAsia="zh-CN" w:bidi="ar-SA"/>
    </w:rPr>
  </w:style>
  <w:style w:type="character" w:customStyle="1" w:styleId="74">
    <w:name w:val="批注文字 Char1"/>
    <w:link w:val="21"/>
    <w:autoRedefine/>
    <w:qFormat/>
    <w:uiPriority w:val="0"/>
    <w:rPr>
      <w:rFonts w:eastAsia="宋体"/>
      <w:kern w:val="2"/>
      <w:sz w:val="21"/>
    </w:rPr>
  </w:style>
  <w:style w:type="character" w:customStyle="1" w:styleId="75">
    <w:name w:val="副标题 Char"/>
    <w:link w:val="44"/>
    <w:autoRedefine/>
    <w:qFormat/>
    <w:uiPriority w:val="0"/>
    <w:rPr>
      <w:rFonts w:ascii="@仿宋_GB2312" w:hAnsi="@仿宋_GB2312" w:eastAsia="@仿宋_GB2312" w:cs="@仿宋_GB2312"/>
      <w:b/>
      <w:bCs/>
      <w:kern w:val="28"/>
      <w:sz w:val="32"/>
      <w:szCs w:val="32"/>
      <w:lang w:val="en-US" w:eastAsia="zh-CN" w:bidi="ar-SA"/>
    </w:rPr>
  </w:style>
  <w:style w:type="character" w:customStyle="1" w:styleId="76">
    <w:name w:val="标题 2 Char"/>
    <w:link w:val="5"/>
    <w:autoRedefine/>
    <w:qFormat/>
    <w:uiPriority w:val="0"/>
    <w:rPr>
      <w:rFonts w:ascii="@仿宋_GB2312" w:hAnsi="@仿宋_GB2312" w:eastAsia="宋体"/>
      <w:b/>
      <w:bCs/>
      <w:kern w:val="2"/>
      <w:sz w:val="28"/>
      <w:szCs w:val="32"/>
    </w:rPr>
  </w:style>
  <w:style w:type="character" w:customStyle="1" w:styleId="77">
    <w:name w:val="日期 Char"/>
    <w:link w:val="35"/>
    <w:autoRedefine/>
    <w:qFormat/>
    <w:uiPriority w:val="0"/>
    <w:rPr>
      <w:rFonts w:eastAsia="@仿宋_GB2312"/>
      <w:b/>
      <w:kern w:val="2"/>
      <w:sz w:val="28"/>
      <w:lang w:val="en-US" w:eastAsia="zh-CN" w:bidi="ar-SA"/>
    </w:rPr>
  </w:style>
  <w:style w:type="character" w:customStyle="1" w:styleId="78">
    <w:name w:val="正文文本 2 Char"/>
    <w:link w:val="51"/>
    <w:autoRedefine/>
    <w:qFormat/>
    <w:uiPriority w:val="0"/>
    <w:rPr>
      <w:rFonts w:ascii="@仿宋_GB2312" w:eastAsia="@仿宋_GB2312"/>
      <w:b/>
      <w:kern w:val="2"/>
      <w:sz w:val="24"/>
      <w:lang w:val="en-US" w:eastAsia="zh-CN" w:bidi="ar-SA"/>
    </w:rPr>
  </w:style>
  <w:style w:type="character" w:customStyle="1" w:styleId="79">
    <w:name w:val="正文文本 + 间距 0 pt"/>
    <w:autoRedefine/>
    <w:qFormat/>
    <w:uiPriority w:val="0"/>
    <w:rPr>
      <w:rFonts w:ascii="宋体" w:eastAsia="宋体"/>
      <w:kern w:val="2"/>
      <w:sz w:val="23"/>
      <w:szCs w:val="23"/>
      <w:lang w:bidi="ar-SA"/>
    </w:rPr>
  </w:style>
  <w:style w:type="character" w:customStyle="1" w:styleId="80">
    <w:name w:val="正文段落 m14 Char Char"/>
    <w:link w:val="81"/>
    <w:autoRedefine/>
    <w:qFormat/>
    <w:locked/>
    <w:uiPriority w:val="0"/>
    <w:rPr>
      <w:rFonts w:eastAsia="@仿宋_GB2312"/>
      <w:sz w:val="24"/>
      <w:lang w:val="en-US" w:eastAsia="zh-CN" w:bidi="ar-SA"/>
    </w:rPr>
  </w:style>
  <w:style w:type="paragraph" w:customStyle="1" w:styleId="81">
    <w:name w:val="正文段落 m14"/>
    <w:link w:val="80"/>
    <w:autoRedefine/>
    <w:qFormat/>
    <w:uiPriority w:val="0"/>
    <w:pPr>
      <w:adjustRightInd w:val="0"/>
      <w:snapToGrid w:val="0"/>
      <w:spacing w:beforeLines="50" w:line="360" w:lineRule="auto"/>
      <w:ind w:firstLine="480" w:firstLineChars="200"/>
    </w:pPr>
    <w:rPr>
      <w:rFonts w:ascii="Calibri" w:hAnsi="Calibri" w:eastAsia="宋体" w:cs="Times New Roman"/>
      <w:sz w:val="24"/>
      <w:lang w:val="en-US" w:eastAsia="zh-CN" w:bidi="ar-SA"/>
    </w:rPr>
  </w:style>
  <w:style w:type="character" w:customStyle="1" w:styleId="82">
    <w:name w:val="表格标题 (3)_"/>
    <w:link w:val="83"/>
    <w:autoRedefine/>
    <w:qFormat/>
    <w:uiPriority w:val="0"/>
    <w:rPr>
      <w:rFonts w:ascii="宋体" w:eastAsia="宋体"/>
      <w:sz w:val="22"/>
      <w:szCs w:val="22"/>
      <w:shd w:val="clear" w:color="auto" w:fill="FFFFFF"/>
    </w:rPr>
  </w:style>
  <w:style w:type="paragraph" w:customStyle="1" w:styleId="83">
    <w:name w:val="表格标题 (3)"/>
    <w:basedOn w:val="1"/>
    <w:link w:val="82"/>
    <w:autoRedefine/>
    <w:qFormat/>
    <w:uiPriority w:val="0"/>
    <w:pPr>
      <w:shd w:val="clear" w:color="auto" w:fill="FFFFFF"/>
      <w:spacing w:line="458" w:lineRule="exact"/>
      <w:jc w:val="left"/>
    </w:pPr>
    <w:rPr>
      <w:rFonts w:ascii="宋体"/>
      <w:kern w:val="0"/>
      <w:sz w:val="22"/>
      <w:szCs w:val="22"/>
    </w:rPr>
  </w:style>
  <w:style w:type="character" w:customStyle="1" w:styleId="84">
    <w:name w:val="正文缩进 Char"/>
    <w:link w:val="17"/>
    <w:autoRedefine/>
    <w:qFormat/>
    <w:uiPriority w:val="0"/>
    <w:rPr>
      <w:rFonts w:ascii="@仿宋_GB2312" w:hAnsi="@仿宋_GB2312" w:eastAsia="@仿宋_GB2312" w:cs="@仿宋_GB2312"/>
      <w:kern w:val="2"/>
      <w:sz w:val="24"/>
      <w:szCs w:val="24"/>
      <w:lang w:val="en-US" w:eastAsia="zh-CN" w:bidi="ar-SA"/>
    </w:rPr>
  </w:style>
  <w:style w:type="character" w:customStyle="1" w:styleId="85">
    <w:name w:val="普通文字1 Char1"/>
    <w:autoRedefine/>
    <w:qFormat/>
    <w:uiPriority w:val="0"/>
    <w:rPr>
      <w:rFonts w:ascii="@仿宋_GB2312" w:hAnsi="@仿宋_GB2312" w:cs="@仿宋_GB2312"/>
      <w:kern w:val="2"/>
      <w:sz w:val="21"/>
      <w:szCs w:val="21"/>
    </w:rPr>
  </w:style>
  <w:style w:type="character" w:customStyle="1" w:styleId="86">
    <w:name w:val="批注文字 Char"/>
    <w:autoRedefine/>
    <w:qFormat/>
    <w:uiPriority w:val="0"/>
    <w:rPr>
      <w:rFonts w:ascii="@仿宋_GB2312" w:hAnsi="@仿宋_GB2312" w:eastAsia="@仿宋_GB2312" w:cs="@仿宋_GB2312"/>
      <w:szCs w:val="20"/>
    </w:rPr>
  </w:style>
  <w:style w:type="character" w:customStyle="1" w:styleId="87">
    <w:name w:val="标题 9 Char"/>
    <w:link w:val="12"/>
    <w:autoRedefine/>
    <w:qFormat/>
    <w:uiPriority w:val="0"/>
    <w:rPr>
      <w:rFonts w:eastAsia="@仿宋_GB2312"/>
      <w:sz w:val="24"/>
      <w:lang w:val="en-US" w:eastAsia="zh-CN" w:bidi="ar-SA"/>
    </w:rPr>
  </w:style>
  <w:style w:type="character" w:customStyle="1" w:styleId="88">
    <w:name w:val="标题 Char1"/>
    <w:autoRedefine/>
    <w:qFormat/>
    <w:uiPriority w:val="0"/>
    <w:rPr>
      <w:rFonts w:hint="default" w:ascii="@仿宋_GB2312" w:hAnsi="@仿宋_GB2312" w:cs="@仿宋_GB2312"/>
      <w:b/>
      <w:bCs/>
      <w:kern w:val="2"/>
      <w:sz w:val="32"/>
      <w:szCs w:val="32"/>
    </w:rPr>
  </w:style>
  <w:style w:type="character" w:customStyle="1" w:styleId="89">
    <w:name w:val="正文文本缩进 3 Char"/>
    <w:link w:val="47"/>
    <w:autoRedefine/>
    <w:qFormat/>
    <w:uiPriority w:val="0"/>
    <w:rPr>
      <w:rFonts w:ascii="@仿宋_GB2312" w:hAnsi="@仿宋_GB2312" w:eastAsia="@仿宋_GB2312"/>
      <w:color w:val="000000"/>
      <w:kern w:val="2"/>
      <w:sz w:val="30"/>
      <w:lang w:val="en-US" w:eastAsia="zh-CN" w:bidi="ar-SA"/>
    </w:rPr>
  </w:style>
  <w:style w:type="character" w:customStyle="1" w:styleId="90">
    <w:name w:val="正文文本缩进 2 Char"/>
    <w:link w:val="36"/>
    <w:autoRedefine/>
    <w:qFormat/>
    <w:uiPriority w:val="0"/>
    <w:rPr>
      <w:rFonts w:ascii="@仿宋_GB2312" w:hAnsi="@仿宋_GB2312" w:eastAsia="@仿宋_GB2312"/>
      <w:kern w:val="2"/>
      <w:sz w:val="32"/>
      <w:lang w:val="en-US" w:eastAsia="zh-CN" w:bidi="ar-SA"/>
    </w:rPr>
  </w:style>
  <w:style w:type="character" w:customStyle="1" w:styleId="91">
    <w:name w:val="标题 5 Char"/>
    <w:link w:val="8"/>
    <w:autoRedefine/>
    <w:qFormat/>
    <w:uiPriority w:val="0"/>
    <w:rPr>
      <w:rFonts w:ascii="@仿宋_GB2312" w:hAnsi="@仿宋_GB2312" w:eastAsia="@仿宋_GB2312"/>
      <w:bCs/>
      <w:kern w:val="2"/>
      <w:sz w:val="28"/>
      <w:lang w:val="en-US" w:eastAsia="zh-CN" w:bidi="ar-SA"/>
    </w:rPr>
  </w:style>
  <w:style w:type="character" w:customStyle="1" w:styleId="92">
    <w:name w:val="标题 6 Char"/>
    <w:link w:val="9"/>
    <w:autoRedefine/>
    <w:qFormat/>
    <w:uiPriority w:val="0"/>
    <w:rPr>
      <w:rFonts w:ascii="@仿宋_GB2312" w:hAnsi="@仿宋_GB2312" w:eastAsia="@仿宋_GB2312"/>
      <w:sz w:val="28"/>
      <w:lang w:val="en-US" w:eastAsia="zh-CN" w:bidi="ar-SA"/>
    </w:rPr>
  </w:style>
  <w:style w:type="character" w:customStyle="1" w:styleId="93">
    <w:name w:val="页脚 Char"/>
    <w:link w:val="38"/>
    <w:autoRedefine/>
    <w:qFormat/>
    <w:uiPriority w:val="99"/>
    <w:rPr>
      <w:rFonts w:eastAsia="@仿宋_GB2312"/>
      <w:kern w:val="2"/>
      <w:sz w:val="18"/>
      <w:szCs w:val="18"/>
      <w:lang w:val="en-US" w:eastAsia="zh-CN" w:bidi="ar-SA"/>
    </w:rPr>
  </w:style>
  <w:style w:type="character" w:customStyle="1" w:styleId="94">
    <w:name w:val="正文文本 3 Char"/>
    <w:link w:val="23"/>
    <w:autoRedefine/>
    <w:qFormat/>
    <w:uiPriority w:val="0"/>
    <w:rPr>
      <w:rFonts w:ascii="@仿宋_GB2312" w:hAnsi="@仿宋_GB2312" w:eastAsia="@仿宋_GB2312"/>
      <w:b/>
      <w:kern w:val="2"/>
      <w:sz w:val="28"/>
      <w:lang w:val="en-US" w:eastAsia="zh-CN" w:bidi="ar-SA"/>
    </w:rPr>
  </w:style>
  <w:style w:type="character" w:customStyle="1" w:styleId="95">
    <w:name w:val="标题 1 Char"/>
    <w:link w:val="4"/>
    <w:autoRedefine/>
    <w:qFormat/>
    <w:uiPriority w:val="0"/>
    <w:rPr>
      <w:b/>
      <w:bCs/>
      <w:kern w:val="44"/>
      <w:sz w:val="32"/>
      <w:szCs w:val="44"/>
    </w:rPr>
  </w:style>
  <w:style w:type="character" w:customStyle="1" w:styleId="96">
    <w:name w:val="标题 4 Char"/>
    <w:link w:val="7"/>
    <w:autoRedefine/>
    <w:qFormat/>
    <w:uiPriority w:val="0"/>
    <w:rPr>
      <w:rFonts w:ascii="@仿宋_GB2312" w:hAnsi="@仿宋_GB2312" w:eastAsia="@仿宋_GB2312"/>
      <w:b/>
      <w:bCs/>
      <w:kern w:val="2"/>
      <w:sz w:val="28"/>
      <w:szCs w:val="28"/>
      <w:lang w:val="en-US" w:eastAsia="zh-CN" w:bidi="ar-SA"/>
    </w:rPr>
  </w:style>
  <w:style w:type="character" w:customStyle="1" w:styleId="97">
    <w:name w:val="正文文本 Char"/>
    <w:link w:val="2"/>
    <w:autoRedefine/>
    <w:qFormat/>
    <w:uiPriority w:val="0"/>
    <w:rPr>
      <w:rFonts w:ascii="@仿宋_GB2312" w:hAnsi="@仿宋_GB2312" w:eastAsia="@仿宋_GB2312"/>
      <w:kern w:val="2"/>
      <w:sz w:val="28"/>
      <w:lang w:val="en-US" w:eastAsia="zh-CN" w:bidi="ar-SA"/>
    </w:rPr>
  </w:style>
  <w:style w:type="character" w:customStyle="1" w:styleId="98">
    <w:name w:val="文档结构图 Char"/>
    <w:link w:val="19"/>
    <w:autoRedefine/>
    <w:qFormat/>
    <w:uiPriority w:val="0"/>
    <w:rPr>
      <w:rFonts w:eastAsia="@仿宋_GB2312"/>
      <w:kern w:val="2"/>
      <w:sz w:val="21"/>
      <w:lang w:val="en-US" w:eastAsia="zh-CN" w:bidi="ar-SA"/>
    </w:rPr>
  </w:style>
  <w:style w:type="character" w:customStyle="1" w:styleId="99">
    <w:name w:val="标题 Char"/>
    <w:link w:val="54"/>
    <w:autoRedefine/>
    <w:qFormat/>
    <w:uiPriority w:val="0"/>
    <w:rPr>
      <w:rFonts w:ascii="@仿宋_GB2312" w:hAnsi="@仿宋_GB2312" w:eastAsia="@仿宋_GB2312" w:cs="@仿宋_GB2312"/>
      <w:bCs/>
      <w:kern w:val="2"/>
      <w:sz w:val="32"/>
      <w:szCs w:val="32"/>
      <w:lang w:val="en-US" w:eastAsia="zh-CN" w:bidi="ar-SA"/>
    </w:rPr>
  </w:style>
  <w:style w:type="character" w:customStyle="1" w:styleId="100">
    <w:name w:val="页眉 Char"/>
    <w:link w:val="39"/>
    <w:autoRedefine/>
    <w:qFormat/>
    <w:uiPriority w:val="99"/>
    <w:rPr>
      <w:rFonts w:eastAsia="@仿宋_GB2312"/>
      <w:kern w:val="2"/>
      <w:sz w:val="18"/>
      <w:szCs w:val="18"/>
      <w:lang w:val="en-US" w:eastAsia="zh-CN" w:bidi="ar-SA"/>
    </w:rPr>
  </w:style>
  <w:style w:type="character" w:customStyle="1" w:styleId="101">
    <w:name w:val="Char2"/>
    <w:autoRedefine/>
    <w:qFormat/>
    <w:uiPriority w:val="0"/>
    <w:rPr>
      <w:rFonts w:hint="eastAsia" w:ascii="@仿宋_GB2312" w:hAnsi="@仿宋_GB2312" w:eastAsia="@仿宋_GB2312" w:cs="@仿宋_GB2312"/>
      <w:bCs/>
      <w:kern w:val="2"/>
      <w:sz w:val="32"/>
      <w:szCs w:val="32"/>
      <w:lang w:val="en-US" w:eastAsia="zh-CN" w:bidi="ar-SA"/>
    </w:rPr>
  </w:style>
  <w:style w:type="character" w:customStyle="1" w:styleId="102">
    <w:name w:val="标题 1 Char1"/>
    <w:autoRedefine/>
    <w:qFormat/>
    <w:uiPriority w:val="0"/>
    <w:rPr>
      <w:b/>
      <w:bCs/>
      <w:kern w:val="44"/>
      <w:sz w:val="44"/>
      <w:szCs w:val="44"/>
    </w:rPr>
  </w:style>
  <w:style w:type="character" w:customStyle="1" w:styleId="103">
    <w:name w:val="正文文本 (5)_"/>
    <w:link w:val="104"/>
    <w:autoRedefine/>
    <w:qFormat/>
    <w:uiPriority w:val="0"/>
    <w:rPr>
      <w:rFonts w:ascii="宋体" w:eastAsia="宋体"/>
      <w:b/>
      <w:bCs/>
      <w:spacing w:val="-8"/>
      <w:sz w:val="23"/>
      <w:szCs w:val="23"/>
      <w:shd w:val="clear" w:color="auto" w:fill="FFFFFF"/>
    </w:rPr>
  </w:style>
  <w:style w:type="paragraph" w:customStyle="1" w:styleId="104">
    <w:name w:val="正文文本 (5)1"/>
    <w:basedOn w:val="1"/>
    <w:link w:val="103"/>
    <w:autoRedefine/>
    <w:qFormat/>
    <w:uiPriority w:val="0"/>
    <w:pPr>
      <w:shd w:val="clear" w:color="auto" w:fill="FFFFFF"/>
      <w:spacing w:line="442" w:lineRule="exact"/>
      <w:ind w:hanging="240"/>
      <w:jc w:val="distribute"/>
    </w:pPr>
    <w:rPr>
      <w:rFonts w:ascii="宋体"/>
      <w:b/>
      <w:bCs/>
      <w:spacing w:val="-8"/>
      <w:kern w:val="0"/>
      <w:sz w:val="23"/>
      <w:szCs w:val="23"/>
    </w:rPr>
  </w:style>
  <w:style w:type="character" w:customStyle="1" w:styleId="105">
    <w:name w:val="批注主题 Char"/>
    <w:link w:val="55"/>
    <w:autoRedefine/>
    <w:qFormat/>
    <w:uiPriority w:val="0"/>
    <w:rPr>
      <w:rFonts w:eastAsia="@仿宋_GB2312"/>
      <w:b/>
      <w:bCs/>
      <w:sz w:val="24"/>
      <w:lang w:val="en-US" w:eastAsia="zh-CN" w:bidi="ar-SA"/>
    </w:rPr>
  </w:style>
  <w:style w:type="character" w:customStyle="1" w:styleId="106">
    <w:name w:val="正文首行缩进 Char"/>
    <w:link w:val="56"/>
    <w:autoRedefine/>
    <w:qFormat/>
    <w:uiPriority w:val="0"/>
    <w:rPr>
      <w:rFonts w:ascii="@仿宋_GB2312" w:hAnsi="@仿宋_GB2312" w:eastAsia="@仿宋_GB2312" w:cs="@仿宋_GB2312"/>
      <w:sz w:val="24"/>
      <w:szCs w:val="32"/>
      <w:lang w:val="en-US" w:eastAsia="zh-CN" w:bidi="ar-SA"/>
    </w:rPr>
  </w:style>
  <w:style w:type="character" w:customStyle="1" w:styleId="107">
    <w:name w:val="样式 首行缩进:  2 字符 Char1"/>
    <w:link w:val="108"/>
    <w:autoRedefine/>
    <w:qFormat/>
    <w:locked/>
    <w:uiPriority w:val="0"/>
    <w:rPr>
      <w:sz w:val="24"/>
      <w:lang w:bidi="ar-SA"/>
    </w:rPr>
  </w:style>
  <w:style w:type="paragraph" w:customStyle="1" w:styleId="108">
    <w:name w:val="样式 首行缩进:  2 字符"/>
    <w:basedOn w:val="1"/>
    <w:link w:val="107"/>
    <w:autoRedefine/>
    <w:qFormat/>
    <w:uiPriority w:val="0"/>
    <w:pPr>
      <w:spacing w:line="480" w:lineRule="exact"/>
      <w:ind w:firstLine="480" w:firstLineChars="200"/>
    </w:pPr>
    <w:rPr>
      <w:kern w:val="0"/>
      <w:sz w:val="24"/>
    </w:rPr>
  </w:style>
  <w:style w:type="character" w:customStyle="1" w:styleId="109">
    <w:name w:val="Char Char1"/>
    <w:autoRedefine/>
    <w:qFormat/>
    <w:uiPriority w:val="0"/>
    <w:rPr>
      <w:rFonts w:hint="eastAsia" w:ascii="@仿宋_GB2312" w:hAnsi="@仿宋_GB2312" w:eastAsia="@仿宋_GB2312"/>
      <w:sz w:val="24"/>
      <w:u w:val="single"/>
      <w:lang w:val="en-US" w:eastAsia="zh-CN" w:bidi="ar-SA"/>
    </w:rPr>
  </w:style>
  <w:style w:type="character" w:customStyle="1" w:styleId="110">
    <w:name w:val="纯文本 Char"/>
    <w:link w:val="32"/>
    <w:autoRedefine/>
    <w:qFormat/>
    <w:locked/>
    <w:uiPriority w:val="99"/>
    <w:rPr>
      <w:rFonts w:ascii="@仿宋_GB2312" w:hAnsi="@仿宋_GB2312" w:eastAsia="@仿宋_GB2312"/>
      <w:kern w:val="2"/>
      <w:sz w:val="21"/>
      <w:lang w:val="en-US" w:eastAsia="zh-CN" w:bidi="ar-SA"/>
    </w:rPr>
  </w:style>
  <w:style w:type="character" w:customStyle="1" w:styleId="111">
    <w:name w:val="正文文本 Char1"/>
    <w:autoRedefine/>
    <w:qFormat/>
    <w:uiPriority w:val="0"/>
    <w:rPr>
      <w:kern w:val="2"/>
      <w:sz w:val="21"/>
      <w:szCs w:val="24"/>
    </w:rPr>
  </w:style>
  <w:style w:type="character" w:customStyle="1" w:styleId="112">
    <w:name w:val="*正文 Char"/>
    <w:link w:val="113"/>
    <w:autoRedefine/>
    <w:qFormat/>
    <w:uiPriority w:val="0"/>
    <w:rPr>
      <w:rFonts w:ascii="宋体" w:hAnsi="宋体" w:cs="仿宋_GB2312"/>
      <w:sz w:val="24"/>
      <w:szCs w:val="24"/>
    </w:rPr>
  </w:style>
  <w:style w:type="paragraph" w:customStyle="1" w:styleId="113">
    <w:name w:val="*正文"/>
    <w:basedOn w:val="1"/>
    <w:link w:val="112"/>
    <w:autoRedefine/>
    <w:qFormat/>
    <w:uiPriority w:val="0"/>
    <w:pPr>
      <w:spacing w:line="300" w:lineRule="auto"/>
      <w:ind w:firstLine="480" w:firstLineChars="200"/>
    </w:pPr>
    <w:rPr>
      <w:rFonts w:ascii="宋体" w:hAnsi="宋体" w:cs="仿宋_GB2312"/>
      <w:kern w:val="0"/>
      <w:sz w:val="24"/>
      <w:szCs w:val="24"/>
    </w:rPr>
  </w:style>
  <w:style w:type="character" w:customStyle="1" w:styleId="114">
    <w:name w:val="批注框文本 Char"/>
    <w:link w:val="37"/>
    <w:autoRedefine/>
    <w:qFormat/>
    <w:uiPriority w:val="0"/>
    <w:rPr>
      <w:rFonts w:eastAsia="@仿宋_GB2312"/>
      <w:kern w:val="2"/>
      <w:sz w:val="18"/>
      <w:szCs w:val="18"/>
      <w:lang w:val="en-US" w:eastAsia="zh-CN" w:bidi="ar-SA"/>
    </w:rPr>
  </w:style>
  <w:style w:type="character" w:customStyle="1" w:styleId="115">
    <w:name w:val="标题 3 Char"/>
    <w:link w:val="6"/>
    <w:autoRedefine/>
    <w:qFormat/>
    <w:uiPriority w:val="0"/>
    <w:rPr>
      <w:rFonts w:ascii="@仿宋_GB2312" w:eastAsia="宋体"/>
      <w:b/>
      <w:bCs/>
      <w:kern w:val="2"/>
      <w:sz w:val="30"/>
      <w:szCs w:val="32"/>
    </w:rPr>
  </w:style>
  <w:style w:type="character" w:customStyle="1" w:styleId="116">
    <w:name w:val="标题 8 Char"/>
    <w:link w:val="11"/>
    <w:autoRedefine/>
    <w:qFormat/>
    <w:uiPriority w:val="0"/>
    <w:rPr>
      <w:rFonts w:eastAsia="@仿宋_GB2312"/>
      <w:sz w:val="24"/>
      <w:lang w:val="en-US" w:eastAsia="zh-CN" w:bidi="ar-SA"/>
    </w:rPr>
  </w:style>
  <w:style w:type="character" w:customStyle="1" w:styleId="117">
    <w:name w:val="文档 Char"/>
    <w:link w:val="118"/>
    <w:autoRedefine/>
    <w:qFormat/>
    <w:locked/>
    <w:uiPriority w:val="0"/>
    <w:rPr>
      <w:sz w:val="24"/>
      <w:szCs w:val="24"/>
      <w:lang w:bidi="ar-SA"/>
    </w:rPr>
  </w:style>
  <w:style w:type="paragraph" w:customStyle="1" w:styleId="118">
    <w:name w:val="文档"/>
    <w:basedOn w:val="1"/>
    <w:link w:val="117"/>
    <w:autoRedefine/>
    <w:qFormat/>
    <w:uiPriority w:val="0"/>
    <w:pPr>
      <w:adjustRightInd w:val="0"/>
      <w:snapToGrid w:val="0"/>
      <w:spacing w:afterLines="50"/>
      <w:ind w:firstLine="480" w:firstLineChars="200"/>
      <w:jc w:val="left"/>
    </w:pPr>
    <w:rPr>
      <w:kern w:val="0"/>
      <w:sz w:val="24"/>
      <w:szCs w:val="24"/>
    </w:rPr>
  </w:style>
  <w:style w:type="paragraph" w:customStyle="1" w:styleId="119">
    <w:name w:val="默认段落字体 Para Char"/>
    <w:basedOn w:val="1"/>
    <w:next w:val="1"/>
    <w:autoRedefine/>
    <w:qFormat/>
    <w:uiPriority w:val="0"/>
    <w:rPr>
      <w:szCs w:val="24"/>
    </w:rPr>
  </w:style>
  <w:style w:type="paragraph" w:customStyle="1" w:styleId="120">
    <w:name w:val="_Style 49"/>
    <w:basedOn w:val="1"/>
    <w:autoRedefine/>
    <w:qFormat/>
    <w:uiPriority w:val="0"/>
    <w:pPr>
      <w:spacing w:beforeLines="50" w:afterLines="50"/>
    </w:pPr>
    <w:rPr>
      <w:szCs w:val="24"/>
    </w:rPr>
  </w:style>
  <w:style w:type="paragraph" w:customStyle="1" w:styleId="121">
    <w:name w:val="样式9"/>
    <w:basedOn w:val="122"/>
    <w:autoRedefine/>
    <w:qFormat/>
    <w:uiPriority w:val="0"/>
    <w:pPr>
      <w:tabs>
        <w:tab w:val="left" w:pos="1180"/>
      </w:tabs>
      <w:autoSpaceDE/>
      <w:autoSpaceDN/>
      <w:spacing w:line="480" w:lineRule="exact"/>
      <w:ind w:left="0" w:leftChars="0" w:firstLine="480" w:firstLineChars="200"/>
    </w:pPr>
    <w:rPr>
      <w:rFonts w:ascii="@仿宋_GB2312" w:hAnsi="@仿宋_GB2312"/>
      <w:color w:val="auto"/>
      <w:szCs w:val="24"/>
    </w:rPr>
  </w:style>
  <w:style w:type="paragraph" w:customStyle="1" w:styleId="122">
    <w:name w:val="样式3"/>
    <w:basedOn w:val="1"/>
    <w:autoRedefine/>
    <w:qFormat/>
    <w:uiPriority w:val="0"/>
    <w:pPr>
      <w:tabs>
        <w:tab w:val="left" w:pos="1180"/>
      </w:tabs>
      <w:autoSpaceDE w:val="0"/>
      <w:autoSpaceDN w:val="0"/>
      <w:adjustRightInd w:val="0"/>
      <w:ind w:left="491" w:leftChars="-24" w:hanging="515" w:hangingChars="515"/>
      <w:jc w:val="left"/>
    </w:pPr>
    <w:rPr>
      <w:color w:val="000000"/>
      <w:kern w:val="0"/>
      <w:sz w:val="24"/>
    </w:rPr>
  </w:style>
  <w:style w:type="paragraph" w:customStyle="1" w:styleId="123">
    <w:name w:val="Char Char3 Char Char Char Char"/>
    <w:basedOn w:val="1"/>
    <w:autoRedefine/>
    <w:qFormat/>
    <w:uiPriority w:val="0"/>
    <w:rPr>
      <w:rFonts w:ascii="@仿宋_GB2312" w:hAnsi="@仿宋_GB2312"/>
      <w:sz w:val="24"/>
    </w:rPr>
  </w:style>
  <w:style w:type="paragraph" w:customStyle="1" w:styleId="124">
    <w:name w:val="font9"/>
    <w:basedOn w:val="1"/>
    <w:autoRedefine/>
    <w:qFormat/>
    <w:uiPriority w:val="0"/>
    <w:pPr>
      <w:widowControl/>
      <w:spacing w:before="100" w:beforeAutospacing="1" w:after="100" w:afterAutospacing="1"/>
      <w:jc w:val="left"/>
    </w:pPr>
    <w:rPr>
      <w:rFonts w:hint="eastAsia" w:ascii="@仿宋_GB2312" w:hAnsi="@仿宋_GB2312" w:eastAsia="@仿宋_GB2312"/>
      <w:kern w:val="0"/>
      <w:sz w:val="32"/>
      <w:szCs w:val="32"/>
    </w:rPr>
  </w:style>
  <w:style w:type="paragraph" w:customStyle="1" w:styleId="125">
    <w:name w:val="样式 宋体 小四 首行缩进:  0.93 厘米 段前: 11.15 磅 段后: 11.15 磅1"/>
    <w:basedOn w:val="1"/>
    <w:autoRedefine/>
    <w:qFormat/>
    <w:uiPriority w:val="0"/>
    <w:pPr>
      <w:adjustRightInd w:val="0"/>
      <w:snapToGrid w:val="0"/>
      <w:ind w:left="200" w:leftChars="200"/>
    </w:pPr>
    <w:rPr>
      <w:rFonts w:ascii="@仿宋_GB2312" w:cs="@仿宋_GB2312"/>
      <w:sz w:val="24"/>
    </w:rPr>
  </w:style>
  <w:style w:type="paragraph" w:customStyle="1" w:styleId="126">
    <w:name w:val="Char3 Char Char Char"/>
    <w:basedOn w:val="1"/>
    <w:autoRedefine/>
    <w:qFormat/>
    <w:uiPriority w:val="0"/>
    <w:rPr>
      <w:rFonts w:ascii="@仿宋_GB2312" w:eastAsia="@仿宋_GB2312"/>
      <w:b/>
      <w:sz w:val="32"/>
      <w:szCs w:val="32"/>
    </w:rPr>
  </w:style>
  <w:style w:type="paragraph" w:customStyle="1" w:styleId="127">
    <w:name w:val="通用"/>
    <w:basedOn w:val="1"/>
    <w:autoRedefine/>
    <w:qFormat/>
    <w:uiPriority w:val="0"/>
    <w:pPr>
      <w:spacing w:line="360" w:lineRule="auto"/>
      <w:ind w:left="42"/>
    </w:pPr>
    <w:rPr>
      <w:rFonts w:ascii="@仿宋_GB2312"/>
      <w:b/>
      <w:sz w:val="24"/>
    </w:rPr>
  </w:style>
  <w:style w:type="paragraph" w:customStyle="1" w:styleId="128">
    <w:name w:val="Char Char Char Char Char Char Char Char Char Char"/>
    <w:basedOn w:val="1"/>
    <w:autoRedefine/>
    <w:qFormat/>
    <w:uiPriority w:val="0"/>
    <w:rPr>
      <w:rFonts w:ascii="Tahoma" w:hAnsi="Tahoma" w:cs="仿宋_GB2312"/>
      <w:sz w:val="24"/>
    </w:rPr>
  </w:style>
  <w:style w:type="paragraph" w:customStyle="1" w:styleId="129">
    <w:name w:val="D&amp;L"/>
    <w:basedOn w:val="39"/>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130">
    <w:name w:val="样式18"/>
    <w:basedOn w:val="32"/>
    <w:autoRedefine/>
    <w:qFormat/>
    <w:uiPriority w:val="0"/>
    <w:pPr>
      <w:spacing w:line="480" w:lineRule="exact"/>
      <w:ind w:firstLine="480" w:firstLineChars="200"/>
    </w:pPr>
    <w:rPr>
      <w:sz w:val="24"/>
      <w:szCs w:val="24"/>
    </w:rPr>
  </w:style>
  <w:style w:type="paragraph" w:customStyle="1" w:styleId="131">
    <w:name w:val="正文（缩进）"/>
    <w:basedOn w:val="1"/>
    <w:autoRedefine/>
    <w:qFormat/>
    <w:uiPriority w:val="0"/>
    <w:pPr>
      <w:widowControl/>
      <w:spacing w:before="156" w:after="156"/>
      <w:ind w:firstLine="480" w:firstLineChars="200"/>
      <w:jc w:val="left"/>
    </w:pPr>
    <w:rPr>
      <w:rFonts w:ascii="@仿宋_GB2312" w:eastAsia="@仿宋_GB2312"/>
      <w:kern w:val="0"/>
      <w:sz w:val="24"/>
      <w:szCs w:val="24"/>
    </w:rPr>
  </w:style>
  <w:style w:type="paragraph" w:customStyle="1" w:styleId="132">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33">
    <w:name w:val="列出段落1"/>
    <w:basedOn w:val="1"/>
    <w:autoRedefine/>
    <w:qFormat/>
    <w:uiPriority w:val="0"/>
    <w:pPr>
      <w:adjustRightInd w:val="0"/>
      <w:spacing w:line="360" w:lineRule="atLeast"/>
      <w:ind w:firstLine="420" w:firstLineChars="200"/>
      <w:jc w:val="left"/>
    </w:pPr>
    <w:rPr>
      <w:kern w:val="0"/>
      <w:sz w:val="24"/>
    </w:rPr>
  </w:style>
  <w:style w:type="paragraph" w:customStyle="1" w:styleId="134">
    <w:name w:val="flType"/>
    <w:basedOn w:val="135"/>
    <w:autoRedefine/>
    <w:qFormat/>
    <w:uiPriority w:val="0"/>
    <w:pPr>
      <w:spacing w:after="284"/>
    </w:pPr>
    <w:rPr>
      <w:b w:val="0"/>
    </w:rPr>
  </w:style>
  <w:style w:type="paragraph" w:customStyle="1" w:styleId="135">
    <w:name w:val="flName"/>
    <w:basedOn w:val="136"/>
    <w:autoRedefine/>
    <w:qFormat/>
    <w:uiPriority w:val="0"/>
    <w:pPr>
      <w:spacing w:before="0" w:line="113" w:lineRule="atLeast"/>
    </w:pPr>
  </w:style>
  <w:style w:type="paragraph" w:customStyle="1" w:styleId="136">
    <w:name w:val="flNote"/>
    <w:basedOn w:val="1"/>
    <w:autoRedefine/>
    <w:qFormat/>
    <w:uiPriority w:val="0"/>
    <w:pPr>
      <w:adjustRightInd w:val="0"/>
      <w:spacing w:before="567" w:line="360" w:lineRule="atLeast"/>
      <w:jc w:val="center"/>
    </w:pPr>
    <w:rPr>
      <w:rFonts w:eastAsia="@仿宋_GB2312"/>
      <w:b/>
      <w:kern w:val="0"/>
      <w:sz w:val="24"/>
    </w:rPr>
  </w:style>
  <w:style w:type="paragraph" w:customStyle="1" w:styleId="137">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w:hAnsi="Arial" w:cs="Arial"/>
      <w:kern w:val="0"/>
      <w:sz w:val="22"/>
      <w:szCs w:val="22"/>
    </w:rPr>
  </w:style>
  <w:style w:type="paragraph" w:customStyle="1" w:styleId="138">
    <w:name w:val="font7"/>
    <w:basedOn w:val="1"/>
    <w:autoRedefine/>
    <w:qFormat/>
    <w:uiPriority w:val="0"/>
    <w:pPr>
      <w:widowControl/>
      <w:spacing w:before="100" w:beforeAutospacing="1" w:after="100" w:afterAutospacing="1"/>
      <w:jc w:val="left"/>
    </w:pPr>
    <w:rPr>
      <w:rFonts w:hint="eastAsia" w:ascii="@仿宋_GB2312" w:hAnsi="@仿宋_GB2312" w:eastAsia="@仿宋_GB2312"/>
      <w:kern w:val="0"/>
      <w:sz w:val="32"/>
      <w:szCs w:val="32"/>
    </w:rPr>
  </w:style>
  <w:style w:type="paragraph" w:customStyle="1" w:styleId="139">
    <w:name w:val="样式12"/>
    <w:basedOn w:val="1"/>
    <w:autoRedefine/>
    <w:qFormat/>
    <w:uiPriority w:val="0"/>
    <w:pPr>
      <w:adjustRightInd w:val="0"/>
      <w:spacing w:line="480" w:lineRule="exact"/>
      <w:ind w:left="600" w:leftChars="250" w:firstLine="480" w:firstLineChars="200"/>
      <w:jc w:val="left"/>
    </w:pPr>
    <w:rPr>
      <w:rFonts w:ascii="@仿宋_GB2312" w:hAnsi="@仿宋_GB2312"/>
      <w:kern w:val="0"/>
      <w:sz w:val="24"/>
      <w:szCs w:val="24"/>
    </w:rPr>
  </w:style>
  <w:style w:type="paragraph" w:customStyle="1" w:styleId="140">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rPr>
  </w:style>
  <w:style w:type="paragraph" w:customStyle="1" w:styleId="141">
    <w:name w:val="font10"/>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42">
    <w:name w:val="TOC 标题1"/>
    <w:basedOn w:val="4"/>
    <w:next w:val="1"/>
    <w:autoRedefine/>
    <w:qFormat/>
    <w:uiPriority w:val="0"/>
    <w:pPr>
      <w:adjustRightInd w:val="0"/>
      <w:snapToGrid w:val="0"/>
      <w:spacing w:before="0" w:after="0" w:afterLines="50" w:line="360" w:lineRule="auto"/>
      <w:jc w:val="left"/>
      <w:outlineLvl w:val="9"/>
    </w:pPr>
    <w:rPr>
      <w:sz w:val="28"/>
      <w:lang w:eastAsia="en-US" w:bidi="en-US"/>
    </w:rPr>
  </w:style>
  <w:style w:type="paragraph" w:customStyle="1" w:styleId="14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2"/>
      <w:szCs w:val="22"/>
    </w:rPr>
  </w:style>
  <w:style w:type="paragraph" w:customStyle="1" w:styleId="144">
    <w:name w:val="正文1"/>
    <w:autoRedefine/>
    <w:qFormat/>
    <w:uiPriority w:val="0"/>
    <w:pPr>
      <w:widowControl w:val="0"/>
      <w:adjustRightInd w:val="0"/>
      <w:spacing w:line="312" w:lineRule="atLeast"/>
      <w:jc w:val="both"/>
    </w:pPr>
    <w:rPr>
      <w:rFonts w:ascii="Calibri" w:hAnsi="Calibri" w:eastAsia="宋体" w:cs="Times New Roman"/>
      <w:sz w:val="34"/>
      <w:lang w:val="en-US" w:eastAsia="zh-CN" w:bidi="ar-SA"/>
    </w:rPr>
  </w:style>
  <w:style w:type="paragraph" w:customStyle="1" w:styleId="145">
    <w:name w:val="font8"/>
    <w:basedOn w:val="1"/>
    <w:autoRedefine/>
    <w:qFormat/>
    <w:uiPriority w:val="0"/>
    <w:pPr>
      <w:widowControl/>
      <w:spacing w:before="100" w:beforeAutospacing="1" w:after="100" w:afterAutospacing="1"/>
      <w:jc w:val="left"/>
    </w:pPr>
    <w:rPr>
      <w:rFonts w:hint="eastAsia" w:ascii="@仿宋_GB2312" w:hAnsi="@仿宋_GB2312"/>
      <w:color w:val="000000"/>
      <w:kern w:val="0"/>
      <w:sz w:val="32"/>
      <w:szCs w:val="32"/>
    </w:rPr>
  </w:style>
  <w:style w:type="paragraph" w:customStyle="1" w:styleId="146">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color w:val="FF0000"/>
      <w:kern w:val="0"/>
      <w:sz w:val="22"/>
      <w:szCs w:val="22"/>
    </w:rPr>
  </w:style>
  <w:style w:type="paragraph" w:customStyle="1" w:styleId="147">
    <w:name w:val="Char1 Char Char Char Char Char Char2 Char Char Char Char Char Char Char"/>
    <w:basedOn w:val="1"/>
    <w:autoRedefine/>
    <w:qFormat/>
    <w:uiPriority w:val="0"/>
    <w:pPr>
      <w:ind w:firstLine="360" w:firstLineChars="150"/>
    </w:pPr>
    <w:rPr>
      <w:rFonts w:ascii="@仿宋_GB2312" w:hAnsi="@仿宋_GB2312"/>
      <w:sz w:val="24"/>
    </w:rPr>
  </w:style>
  <w:style w:type="paragraph" w:customStyle="1" w:styleId="148">
    <w:name w:val="基本文字 Char"/>
    <w:basedOn w:val="1"/>
    <w:autoRedefine/>
    <w:qFormat/>
    <w:uiPriority w:val="0"/>
    <w:pPr>
      <w:spacing w:before="156" w:line="400" w:lineRule="atLeast"/>
      <w:ind w:firstLine="540" w:firstLineChars="225"/>
    </w:pPr>
    <w:rPr>
      <w:sz w:val="24"/>
    </w:rPr>
  </w:style>
  <w:style w:type="paragraph" w:customStyle="1" w:styleId="149">
    <w:name w:val="kd"/>
    <w:basedOn w:val="144"/>
    <w:autoRedefine/>
    <w:qFormat/>
    <w:uiPriority w:val="0"/>
    <w:pPr>
      <w:ind w:left="720" w:hanging="720"/>
    </w:pPr>
    <w:rPr>
      <w:sz w:val="28"/>
    </w:rPr>
  </w:style>
  <w:style w:type="paragraph" w:customStyle="1" w:styleId="150">
    <w:name w:val="专用"/>
    <w:basedOn w:val="1"/>
    <w:autoRedefine/>
    <w:qFormat/>
    <w:uiPriority w:val="0"/>
    <w:pPr>
      <w:spacing w:afterLines="100"/>
      <w:ind w:left="838" w:hanging="838" w:hangingChars="262"/>
    </w:pPr>
    <w:rPr>
      <w:rFonts w:ascii="@仿宋_GB2312"/>
      <w:b/>
      <w:color w:val="000000"/>
      <w:sz w:val="32"/>
    </w:rPr>
  </w:style>
  <w:style w:type="paragraph" w:customStyle="1" w:styleId="151">
    <w:name w:val="文章正文"/>
    <w:basedOn w:val="1"/>
    <w:autoRedefine/>
    <w:qFormat/>
    <w:uiPriority w:val="0"/>
    <w:pPr>
      <w:tabs>
        <w:tab w:val="left" w:pos="992"/>
      </w:tabs>
      <w:spacing w:beforeLines="50" w:afterLines="50" w:line="320" w:lineRule="exact"/>
      <w:ind w:firstLine="200" w:firstLineChars="200"/>
    </w:pPr>
    <w:rPr>
      <w:rFonts w:ascii="@仿宋_GB2312" w:eastAsia="@仿宋_GB2312"/>
      <w:sz w:val="28"/>
      <w:szCs w:val="24"/>
    </w:rPr>
  </w:style>
  <w:style w:type="paragraph" w:customStyle="1" w:styleId="152">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kern w:val="0"/>
      <w:sz w:val="32"/>
      <w:szCs w:val="32"/>
    </w:rPr>
  </w:style>
  <w:style w:type="paragraph" w:customStyle="1" w:styleId="153">
    <w:name w:val="Char Char1 Char Char Char Char Char Char Char Char Char Char Char Char Char Char Char"/>
    <w:basedOn w:val="1"/>
    <w:autoRedefine/>
    <w:qFormat/>
    <w:uiPriority w:val="0"/>
    <w:pPr>
      <w:widowControl/>
      <w:spacing w:after="160" w:line="240" w:lineRule="exact"/>
      <w:jc w:val="left"/>
    </w:pPr>
    <w:rPr>
      <w:rFonts w:ascii="@仿宋_GB2312" w:hAnsi="@仿宋_GB2312"/>
      <w:kern w:val="0"/>
      <w:sz w:val="20"/>
      <w:lang w:eastAsia="en-US"/>
    </w:rPr>
  </w:style>
  <w:style w:type="paragraph" w:customStyle="1" w:styleId="154">
    <w:name w:val="p0"/>
    <w:basedOn w:val="1"/>
    <w:autoRedefine/>
    <w:qFormat/>
    <w:uiPriority w:val="0"/>
    <w:pPr>
      <w:widowControl/>
    </w:pPr>
    <w:rPr>
      <w:kern w:val="0"/>
      <w:szCs w:val="21"/>
    </w:rPr>
  </w:style>
  <w:style w:type="paragraph" w:customStyle="1" w:styleId="155">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仿宋_GB2312"/>
      <w:kern w:val="0"/>
      <w:sz w:val="32"/>
      <w:szCs w:val="32"/>
    </w:rPr>
  </w:style>
  <w:style w:type="paragraph" w:customStyle="1" w:styleId="156">
    <w:name w:val="样式胡"/>
    <w:basedOn w:val="1"/>
    <w:autoRedefine/>
    <w:qFormat/>
    <w:uiPriority w:val="0"/>
    <w:pPr>
      <w:tabs>
        <w:tab w:val="left" w:pos="3300"/>
      </w:tabs>
      <w:ind w:left="3300" w:hanging="420"/>
    </w:pPr>
    <w:rPr>
      <w:rFonts w:ascii="@仿宋_GB2312" w:hAnsi="@仿宋_GB2312" w:eastAsia="@仿宋_GB2312"/>
      <w:szCs w:val="24"/>
    </w:rPr>
  </w:style>
  <w:style w:type="paragraph" w:customStyle="1" w:styleId="157">
    <w:name w:val="Char1"/>
    <w:basedOn w:val="1"/>
    <w:autoRedefine/>
    <w:qFormat/>
    <w:uiPriority w:val="0"/>
    <w:rPr>
      <w:szCs w:val="24"/>
    </w:rPr>
  </w:style>
  <w:style w:type="paragraph" w:customStyle="1" w:styleId="158">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仿宋_GB2312" w:hAnsi="@仿宋_GB2312" w:eastAsia="@仿宋_GB2312"/>
      <w:kern w:val="0"/>
      <w:sz w:val="32"/>
      <w:szCs w:val="32"/>
    </w:rPr>
  </w:style>
  <w:style w:type="paragraph" w:customStyle="1" w:styleId="159">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2"/>
      <w:szCs w:val="22"/>
    </w:rPr>
  </w:style>
  <w:style w:type="paragraph" w:customStyle="1" w:styleId="160">
    <w:name w:val="修订1"/>
    <w:autoRedefine/>
    <w:unhideWhenUsed/>
    <w:qFormat/>
    <w:uiPriority w:val="99"/>
    <w:rPr>
      <w:rFonts w:ascii="Calibri" w:hAnsi="Calibri" w:eastAsia="宋体" w:cs="Times New Roman"/>
      <w:kern w:val="2"/>
      <w:sz w:val="21"/>
      <w:lang w:val="en-US" w:eastAsia="zh-CN" w:bidi="ar-SA"/>
    </w:rPr>
  </w:style>
  <w:style w:type="paragraph" w:customStyle="1" w:styleId="161">
    <w:name w:val="样式4"/>
    <w:basedOn w:val="54"/>
    <w:autoRedefine/>
    <w:qFormat/>
    <w:uiPriority w:val="0"/>
    <w:pPr>
      <w:tabs>
        <w:tab w:val="clear" w:pos="425"/>
      </w:tabs>
      <w:spacing w:line="360" w:lineRule="auto"/>
      <w:ind w:left="0" w:firstLine="0"/>
    </w:pPr>
    <w:rPr>
      <w:sz w:val="36"/>
      <w:szCs w:val="36"/>
    </w:rPr>
  </w:style>
  <w:style w:type="paragraph" w:customStyle="1" w:styleId="162">
    <w:name w:val="font6"/>
    <w:basedOn w:val="1"/>
    <w:autoRedefine/>
    <w:qFormat/>
    <w:uiPriority w:val="0"/>
    <w:pPr>
      <w:widowControl/>
      <w:spacing w:before="100" w:beforeAutospacing="1" w:after="100" w:afterAutospacing="1"/>
      <w:jc w:val="left"/>
    </w:pPr>
    <w:rPr>
      <w:rFonts w:hint="eastAsia" w:ascii="@仿宋_GB2312" w:hAnsi="@仿宋_GB2312"/>
      <w:kern w:val="0"/>
      <w:sz w:val="18"/>
      <w:szCs w:val="18"/>
    </w:rPr>
  </w:style>
  <w:style w:type="paragraph" w:customStyle="1" w:styleId="163">
    <w:name w:val="纯文本1"/>
    <w:basedOn w:val="1"/>
    <w:autoRedefine/>
    <w:qFormat/>
    <w:uiPriority w:val="0"/>
    <w:pPr>
      <w:adjustRightInd w:val="0"/>
      <w:spacing w:line="312" w:lineRule="atLeast"/>
    </w:pPr>
    <w:rPr>
      <w:rFonts w:ascii="@仿宋_GB2312" w:hAnsi="@仿宋_GB2312"/>
      <w:kern w:val="0"/>
      <w:sz w:val="28"/>
    </w:rPr>
  </w:style>
  <w:style w:type="paragraph" w:customStyle="1" w:styleId="164">
    <w:name w:val="Blockquote"/>
    <w:basedOn w:val="1"/>
    <w:autoRedefine/>
    <w:qFormat/>
    <w:uiPriority w:val="0"/>
    <w:pPr>
      <w:autoSpaceDE w:val="0"/>
      <w:autoSpaceDN w:val="0"/>
      <w:adjustRightInd w:val="0"/>
      <w:spacing w:before="100" w:after="100"/>
      <w:ind w:left="360" w:right="360"/>
      <w:jc w:val="left"/>
    </w:pPr>
    <w:rPr>
      <w:kern w:val="0"/>
      <w:sz w:val="24"/>
    </w:rPr>
  </w:style>
  <w:style w:type="paragraph" w:customStyle="1" w:styleId="165">
    <w:name w:val="样式 标题 3列表编号31.1.1 + 四号 加粗 行距: 1.5 倍行距"/>
    <w:basedOn w:val="6"/>
    <w:autoRedefine/>
    <w:qFormat/>
    <w:uiPriority w:val="0"/>
    <w:pPr>
      <w:tabs>
        <w:tab w:val="left" w:pos="0"/>
      </w:tabs>
      <w:adjustRightInd w:val="0"/>
      <w:spacing w:before="0" w:after="0" w:line="360" w:lineRule="auto"/>
      <w:jc w:val="left"/>
    </w:pPr>
    <w:rPr>
      <w:rFonts w:cs="@仿宋_GB2312"/>
      <w:kern w:val="0"/>
      <w:sz w:val="28"/>
      <w:szCs w:val="20"/>
    </w:rPr>
  </w:style>
  <w:style w:type="paragraph" w:customStyle="1" w:styleId="166">
    <w:name w:val="合同书"/>
    <w:basedOn w:val="1"/>
    <w:autoRedefine/>
    <w:qFormat/>
    <w:uiPriority w:val="0"/>
    <w:pPr>
      <w:jc w:val="center"/>
    </w:pPr>
    <w:rPr>
      <w:rFonts w:ascii="@仿宋_GB2312"/>
      <w:b/>
      <w:sz w:val="36"/>
    </w:rPr>
  </w:style>
  <w:style w:type="paragraph" w:customStyle="1" w:styleId="167">
    <w:name w:val="样式8"/>
    <w:basedOn w:val="168"/>
    <w:autoRedefine/>
    <w:qFormat/>
    <w:uiPriority w:val="0"/>
    <w:pPr>
      <w:keepNext/>
      <w:keepLines/>
      <w:tabs>
        <w:tab w:val="left" w:pos="709"/>
      </w:tabs>
      <w:spacing w:beforeLines="100"/>
      <w:ind w:left="0" w:firstLine="0"/>
      <w:jc w:val="center"/>
      <w:textAlignment w:val="auto"/>
      <w:outlineLvl w:val="1"/>
    </w:pPr>
    <w:rPr>
      <w:rFonts w:eastAsia="@仿宋_GB2312"/>
      <w:sz w:val="36"/>
      <w:szCs w:val="36"/>
    </w:rPr>
  </w:style>
  <w:style w:type="paragraph" w:customStyle="1" w:styleId="168">
    <w:name w:val="样式1"/>
    <w:basedOn w:val="1"/>
    <w:autoRedefine/>
    <w:qFormat/>
    <w:uiPriority w:val="0"/>
    <w:pPr>
      <w:tabs>
        <w:tab w:val="left" w:pos="709"/>
      </w:tabs>
      <w:adjustRightInd w:val="0"/>
      <w:ind w:left="709" w:hanging="709"/>
      <w:textAlignment w:val="baseline"/>
    </w:pPr>
    <w:rPr>
      <w:rFonts w:ascii="@仿宋_GB2312" w:hAnsi="@仿宋_GB2312"/>
      <w:kern w:val="0"/>
    </w:rPr>
  </w:style>
  <w:style w:type="paragraph" w:customStyle="1" w:styleId="169">
    <w:name w:val="Char Char Char"/>
    <w:basedOn w:val="1"/>
    <w:autoRedefine/>
    <w:qFormat/>
    <w:uiPriority w:val="0"/>
    <w:rPr>
      <w:rFonts w:ascii="@仿宋_GB2312" w:hAnsi="@仿宋_GB2312"/>
      <w:sz w:val="24"/>
    </w:rPr>
  </w:style>
  <w:style w:type="paragraph" w:customStyle="1" w:styleId="170">
    <w:name w:val="段"/>
    <w:next w:val="1"/>
    <w:autoRedefine/>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 w:type="paragraph" w:customStyle="1" w:styleId="171">
    <w:name w:val="Char Char Char Char Char Char Char"/>
    <w:basedOn w:val="1"/>
    <w:autoRedefine/>
    <w:qFormat/>
    <w:uiPriority w:val="0"/>
    <w:pPr>
      <w:widowControl/>
      <w:spacing w:after="160" w:line="240" w:lineRule="exact"/>
      <w:jc w:val="left"/>
    </w:pPr>
    <w:rPr>
      <w:rFonts w:ascii="@仿宋_GB2312" w:hAnsi="@仿宋_GB2312" w:cs="@仿宋_GB2312"/>
      <w:kern w:val="0"/>
      <w:sz w:val="20"/>
      <w:lang w:eastAsia="en-US"/>
    </w:rPr>
  </w:style>
  <w:style w:type="paragraph" w:customStyle="1" w:styleId="172">
    <w:name w:val="Char Char Char Char Char Char"/>
    <w:basedOn w:val="1"/>
    <w:autoRedefine/>
    <w:qFormat/>
    <w:uiPriority w:val="0"/>
    <w:pPr>
      <w:widowControl/>
      <w:spacing w:after="160" w:line="240" w:lineRule="exact"/>
      <w:jc w:val="left"/>
    </w:pPr>
    <w:rPr>
      <w:kern w:val="0"/>
      <w:sz w:val="24"/>
    </w:rPr>
  </w:style>
  <w:style w:type="paragraph" w:customStyle="1" w:styleId="173">
    <w:name w:val="样式 标题 3标题 3 Char Char标题 3 Char Char Char Char + 黑体 段前: 12 磅 ..."/>
    <w:basedOn w:val="6"/>
    <w:autoRedefine/>
    <w:qFormat/>
    <w:uiPriority w:val="0"/>
    <w:pPr>
      <w:spacing w:before="240" w:after="120" w:line="240" w:lineRule="auto"/>
      <w:jc w:val="left"/>
    </w:pPr>
    <w:rPr>
      <w:rFonts w:hAnsi="@仿宋_GB2312" w:eastAsia="@仿宋_GB2312" w:cs="@仿宋_GB2312"/>
      <w:b w:val="0"/>
      <w:kern w:val="0"/>
      <w:sz w:val="28"/>
      <w:szCs w:val="20"/>
    </w:rPr>
  </w:style>
  <w:style w:type="paragraph" w:customStyle="1" w:styleId="174">
    <w:name w:val="正文_0"/>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5">
    <w:name w:val="Subhead 1"/>
    <w:basedOn w:val="1"/>
    <w:autoRedefine/>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仿宋_GB2312" w:hAnsi="@仿宋_GB2312" w:eastAsia="@仿宋_GB2312"/>
      <w:b/>
      <w:kern w:val="0"/>
      <w:sz w:val="32"/>
    </w:rPr>
  </w:style>
  <w:style w:type="paragraph" w:customStyle="1" w:styleId="176">
    <w:name w:val="Char Char Char Char Char"/>
    <w:basedOn w:val="1"/>
    <w:autoRedefine/>
    <w:qFormat/>
    <w:uiPriority w:val="0"/>
    <w:pPr>
      <w:ind w:firstLine="360" w:firstLineChars="150"/>
    </w:pPr>
  </w:style>
  <w:style w:type="paragraph" w:customStyle="1" w:styleId="177">
    <w:name w:val="五级"/>
    <w:basedOn w:val="5"/>
    <w:autoRedefine/>
    <w:qFormat/>
    <w:uiPriority w:val="0"/>
    <w:pPr>
      <w:keepNext w:val="0"/>
      <w:keepLines w:val="0"/>
      <w:tabs>
        <w:tab w:val="left" w:pos="709"/>
        <w:tab w:val="left" w:pos="851"/>
      </w:tabs>
      <w:spacing w:before="0" w:after="0" w:line="360" w:lineRule="auto"/>
      <w:ind w:left="709" w:hanging="709"/>
      <w:jc w:val="both"/>
    </w:pPr>
    <w:rPr>
      <w:rFonts w:eastAsia="@仿宋_GB2312"/>
      <w:b w:val="0"/>
      <w:sz w:val="24"/>
    </w:rPr>
  </w:style>
  <w:style w:type="paragraph" w:customStyle="1" w:styleId="178">
    <w:name w:val="Char"/>
    <w:basedOn w:val="1"/>
    <w:autoRedefine/>
    <w:qFormat/>
    <w:uiPriority w:val="0"/>
    <w:rPr>
      <w:rFonts w:ascii="@仿宋_GB2312" w:hAnsi="@仿宋_GB2312"/>
      <w:sz w:val="24"/>
    </w:rPr>
  </w:style>
  <w:style w:type="paragraph" w:customStyle="1" w:styleId="179">
    <w:name w:val="p15"/>
    <w:basedOn w:val="1"/>
    <w:autoRedefine/>
    <w:qFormat/>
    <w:uiPriority w:val="0"/>
    <w:pPr>
      <w:widowControl/>
      <w:jc w:val="center"/>
    </w:pPr>
    <w:rPr>
      <w:rFonts w:ascii="@仿宋_GB2312" w:hAnsi="@仿宋_GB2312" w:eastAsia="@仿宋_GB2312" w:cs="@仿宋_GB2312"/>
      <w:b/>
      <w:bCs/>
      <w:kern w:val="0"/>
      <w:sz w:val="28"/>
      <w:szCs w:val="28"/>
    </w:rPr>
  </w:style>
  <w:style w:type="paragraph" w:customStyle="1" w:styleId="180">
    <w:name w:val="Char Char18"/>
    <w:basedOn w:val="1"/>
    <w:autoRedefine/>
    <w:qFormat/>
    <w:uiPriority w:val="0"/>
    <w:pPr>
      <w:widowControl/>
      <w:spacing w:after="160" w:line="240" w:lineRule="exact"/>
      <w:jc w:val="left"/>
    </w:pPr>
    <w:rPr>
      <w:kern w:val="0"/>
      <w:sz w:val="24"/>
    </w:rPr>
  </w:style>
  <w:style w:type="paragraph" w:customStyle="1" w:styleId="181">
    <w:name w:val="样式 样式 样式 标题 3 + 四号 段前: 0 磅 段后: 0 磅 行距: 固定值 24 磅 + Times New Roma..."/>
    <w:basedOn w:val="1"/>
    <w:autoRedefine/>
    <w:qFormat/>
    <w:uiPriority w:val="0"/>
    <w:pPr>
      <w:autoSpaceDE w:val="0"/>
      <w:autoSpaceDN w:val="0"/>
      <w:adjustRightInd w:val="0"/>
      <w:spacing w:line="480" w:lineRule="exact"/>
      <w:ind w:firstLine="200" w:firstLineChars="200"/>
    </w:pPr>
    <w:rPr>
      <w:rFonts w:cs="@仿宋_GB2312"/>
      <w:color w:val="000000"/>
      <w:sz w:val="28"/>
    </w:rPr>
  </w:style>
  <w:style w:type="paragraph" w:customStyle="1" w:styleId="182">
    <w:name w:val="Char Char Char Char Char Char Char1 Char"/>
    <w:basedOn w:val="1"/>
    <w:autoRedefine/>
    <w:qFormat/>
    <w:uiPriority w:val="0"/>
    <w:rPr>
      <w:rFonts w:ascii="@仿宋_GB2312" w:hAnsi="@仿宋_GB2312"/>
      <w:sz w:val="24"/>
    </w:rPr>
  </w:style>
  <w:style w:type="paragraph" w:customStyle="1" w:styleId="183">
    <w:name w:val="xl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22"/>
      <w:szCs w:val="22"/>
    </w:rPr>
  </w:style>
  <w:style w:type="paragraph" w:customStyle="1" w:styleId="184">
    <w:name w:val="standdate"/>
    <w:basedOn w:val="38"/>
    <w:autoRedefine/>
    <w:qFormat/>
    <w:uiPriority w:val="0"/>
    <w:pPr>
      <w:pBdr>
        <w:top w:val="single" w:color="auto" w:sz="6" w:space="7"/>
      </w:pBdr>
      <w:adjustRightInd w:val="0"/>
      <w:snapToGrid/>
      <w:spacing w:line="240" w:lineRule="atLeast"/>
      <w:jc w:val="center"/>
    </w:pPr>
    <w:rPr>
      <w:rFonts w:ascii="@仿宋_GB2312" w:eastAsia="@仿宋_GB2312"/>
      <w:b/>
      <w:spacing w:val="-4"/>
      <w:kern w:val="0"/>
      <w:sz w:val="21"/>
      <w:szCs w:val="20"/>
    </w:rPr>
  </w:style>
  <w:style w:type="paragraph" w:customStyle="1" w:styleId="185">
    <w:name w:val="条目"/>
    <w:basedOn w:val="54"/>
    <w:next w:val="1"/>
    <w:autoRedefine/>
    <w:qFormat/>
    <w:uiPriority w:val="0"/>
    <w:pPr>
      <w:tabs>
        <w:tab w:val="left" w:pos="1980"/>
        <w:tab w:val="clear" w:pos="425"/>
      </w:tabs>
      <w:spacing w:before="280" w:after="0" w:line="160" w:lineRule="exact"/>
      <w:ind w:left="1980" w:hanging="720"/>
      <w:jc w:val="left"/>
    </w:pPr>
    <w:rPr>
      <w:b/>
      <w:bCs w:val="0"/>
      <w:spacing w:val="40"/>
      <w:kern w:val="40"/>
      <w:sz w:val="24"/>
      <w:szCs w:val="20"/>
    </w:rPr>
  </w:style>
  <w:style w:type="paragraph" w:customStyle="1" w:styleId="186">
    <w:name w:val="大标题"/>
    <w:autoRedefine/>
    <w:qFormat/>
    <w:uiPriority w:val="0"/>
    <w:pPr>
      <w:tabs>
        <w:tab w:val="left" w:pos="1134"/>
      </w:tabs>
      <w:snapToGrid w:val="0"/>
      <w:spacing w:before="240" w:after="240" w:line="288" w:lineRule="auto"/>
    </w:pPr>
    <w:rPr>
      <w:rFonts w:ascii="Calibri" w:hAnsi="Calibri" w:eastAsia="宋体" w:cs="Times New Roman"/>
      <w:sz w:val="24"/>
      <w:lang w:val="en-US" w:eastAsia="zh-CN" w:bidi="ar-SA"/>
    </w:rPr>
  </w:style>
  <w:style w:type="paragraph" w:customStyle="1" w:styleId="187">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188">
    <w:name w:val="Char Char Char Char"/>
    <w:basedOn w:val="1"/>
    <w:autoRedefine/>
    <w:qFormat/>
    <w:uiPriority w:val="0"/>
    <w:rPr>
      <w:sz w:val="30"/>
      <w:szCs w:val="24"/>
    </w:rPr>
  </w:style>
  <w:style w:type="paragraph" w:customStyle="1" w:styleId="189">
    <w:name w:val="Body text 1"/>
    <w:basedOn w:val="190"/>
    <w:autoRedefine/>
    <w:qFormat/>
    <w:uiPriority w:val="0"/>
    <w:pPr>
      <w:tabs>
        <w:tab w:val="left" w:pos="1134"/>
      </w:tabs>
      <w:ind w:hanging="1134"/>
    </w:pPr>
  </w:style>
  <w:style w:type="paragraph" w:customStyle="1" w:styleId="190">
    <w:name w:val="正文文本1"/>
    <w:autoRedefine/>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91">
    <w:name w:val="样式 样式 标题 4 + (符号) 宋体 行距: 固定值 22 磅 + 黑色"/>
    <w:basedOn w:val="1"/>
    <w:autoRedefine/>
    <w:qFormat/>
    <w:uiPriority w:val="0"/>
    <w:pPr>
      <w:tabs>
        <w:tab w:val="left" w:pos="2400"/>
      </w:tabs>
      <w:adjustRightInd w:val="0"/>
      <w:spacing w:before="50" w:after="50" w:line="440" w:lineRule="exact"/>
      <w:ind w:left="-284" w:hanging="420"/>
      <w:jc w:val="left"/>
      <w:outlineLvl w:val="3"/>
    </w:pPr>
    <w:rPr>
      <w:rFonts w:ascii="@仿宋_GB2312" w:hAnsi="@仿宋_GB2312" w:cs="@仿宋_GB2312"/>
      <w:color w:val="000000"/>
      <w:kern w:val="0"/>
      <w:sz w:val="24"/>
    </w:rPr>
  </w:style>
  <w:style w:type="paragraph" w:customStyle="1" w:styleId="192">
    <w:name w:val="font5"/>
    <w:basedOn w:val="1"/>
    <w:autoRedefine/>
    <w:qFormat/>
    <w:uiPriority w:val="0"/>
    <w:pPr>
      <w:widowControl/>
      <w:spacing w:before="100" w:beforeAutospacing="1" w:after="100" w:afterAutospacing="1"/>
      <w:jc w:val="left"/>
    </w:pPr>
    <w:rPr>
      <w:rFonts w:hint="eastAsia" w:ascii="@仿宋_GB2312" w:hAnsi="@仿宋_GB2312"/>
      <w:kern w:val="0"/>
      <w:sz w:val="18"/>
      <w:szCs w:val="18"/>
    </w:rPr>
  </w:style>
  <w:style w:type="paragraph" w:customStyle="1" w:styleId="193">
    <w:name w:val="Char Char Char1 Char Char Char"/>
    <w:basedOn w:val="1"/>
    <w:autoRedefine/>
    <w:qFormat/>
    <w:uiPriority w:val="0"/>
  </w:style>
  <w:style w:type="paragraph" w:customStyle="1" w:styleId="194">
    <w:name w:val="表格文字"/>
    <w:basedOn w:val="1"/>
    <w:autoRedefine/>
    <w:qFormat/>
    <w:uiPriority w:val="0"/>
    <w:pPr>
      <w:snapToGrid w:val="0"/>
      <w:ind w:firstLine="200" w:firstLineChars="200"/>
      <w:jc w:val="center"/>
    </w:pPr>
    <w:rPr>
      <w:rFonts w:cs="@仿宋_GB2312"/>
    </w:rPr>
  </w:style>
  <w:style w:type="paragraph" w:customStyle="1" w:styleId="195">
    <w:name w:val="格式2"/>
    <w:basedOn w:val="5"/>
    <w:autoRedefine/>
    <w:qFormat/>
    <w:uiPriority w:val="0"/>
    <w:pPr>
      <w:autoSpaceDE w:val="0"/>
      <w:autoSpaceDN w:val="0"/>
      <w:adjustRightInd w:val="0"/>
      <w:spacing w:line="416" w:lineRule="atLeast"/>
      <w:jc w:val="both"/>
    </w:pPr>
    <w:rPr>
      <w:b w:val="0"/>
      <w:kern w:val="0"/>
      <w:sz w:val="30"/>
      <w:szCs w:val="20"/>
    </w:rPr>
  </w:style>
  <w:style w:type="paragraph" w:styleId="196">
    <w:name w:val="List Paragraph"/>
    <w:basedOn w:val="1"/>
    <w:autoRedefine/>
    <w:qFormat/>
    <w:uiPriority w:val="34"/>
    <w:pPr>
      <w:ind w:firstLine="420" w:firstLineChars="200"/>
    </w:pPr>
    <w:rPr>
      <w:rFonts w:ascii="@仿宋_GB2312" w:hAnsi="@仿宋_GB2312"/>
      <w:szCs w:val="22"/>
    </w:rPr>
  </w:style>
  <w:style w:type="paragraph" w:customStyle="1" w:styleId="197">
    <w:name w:val="表格"/>
    <w:basedOn w:val="1"/>
    <w:autoRedefine/>
    <w:qFormat/>
    <w:uiPriority w:val="0"/>
    <w:pPr>
      <w:widowControl/>
      <w:snapToGrid w:val="0"/>
      <w:spacing w:before="60" w:after="60"/>
      <w:jc w:val="left"/>
    </w:pPr>
    <w:rPr>
      <w:rFonts w:ascii="@仿宋_GB2312"/>
      <w:sz w:val="20"/>
    </w:rPr>
  </w:style>
  <w:style w:type="paragraph" w:customStyle="1" w:styleId="198">
    <w:name w:val="SUR-需求定义-第4级"/>
    <w:basedOn w:val="7"/>
    <w:next w:val="1"/>
    <w:autoRedefine/>
    <w:qFormat/>
    <w:uiPriority w:val="0"/>
    <w:pPr>
      <w:tabs>
        <w:tab w:val="left" w:pos="1080"/>
      </w:tabs>
      <w:spacing w:before="0" w:after="0"/>
      <w:ind w:left="-283" w:firstLine="283"/>
      <w:jc w:val="left"/>
    </w:pPr>
    <w:rPr>
      <w:rFonts w:cs="@仿宋_GB2312"/>
      <w:b w:val="0"/>
      <w:color w:val="0000FF"/>
      <w:sz w:val="24"/>
      <w:szCs w:val="24"/>
    </w:rPr>
  </w:style>
  <w:style w:type="paragraph" w:customStyle="1" w:styleId="199">
    <w:name w:val="表内容"/>
    <w:basedOn w:val="118"/>
    <w:autoRedefine/>
    <w:qFormat/>
    <w:uiPriority w:val="0"/>
    <w:pPr>
      <w:spacing w:afterLines="0"/>
      <w:ind w:firstLine="0" w:firstLineChars="0"/>
      <w:jc w:val="center"/>
    </w:pPr>
    <w:rPr>
      <w:sz w:val="21"/>
    </w:rPr>
  </w:style>
  <w:style w:type="paragraph" w:customStyle="1" w:styleId="20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仿宋_GB2312" w:hAnsi="@仿宋_GB2312" w:eastAsia="@仿宋_GB2312"/>
      <w:kern w:val="0"/>
      <w:sz w:val="32"/>
      <w:szCs w:val="32"/>
    </w:rPr>
  </w:style>
  <w:style w:type="paragraph" w:customStyle="1" w:styleId="201">
    <w:name w:val="_Style 8"/>
    <w:basedOn w:val="1"/>
    <w:autoRedefine/>
    <w:qFormat/>
    <w:uiPriority w:val="0"/>
  </w:style>
  <w:style w:type="paragraph" w:customStyle="1" w:styleId="202">
    <w:name w:val="一级标题"/>
    <w:basedOn w:val="1"/>
    <w:next w:val="203"/>
    <w:autoRedefine/>
    <w:qFormat/>
    <w:uiPriority w:val="0"/>
    <w:pPr>
      <w:tabs>
        <w:tab w:val="left" w:pos="425"/>
        <w:tab w:val="left" w:pos="1418"/>
      </w:tabs>
      <w:spacing w:afterLines="100"/>
      <w:ind w:left="850" w:hanging="425"/>
      <w:outlineLvl w:val="0"/>
    </w:pPr>
    <w:rPr>
      <w:rFonts w:ascii="@仿宋_GB2312" w:eastAsia="@仿宋_GB2312"/>
      <w:sz w:val="30"/>
      <w:szCs w:val="28"/>
    </w:rPr>
  </w:style>
  <w:style w:type="paragraph" w:customStyle="1" w:styleId="203">
    <w:name w:val="二级标题"/>
    <w:basedOn w:val="1"/>
    <w:next w:val="151"/>
    <w:autoRedefine/>
    <w:qFormat/>
    <w:uiPriority w:val="0"/>
    <w:pPr>
      <w:tabs>
        <w:tab w:val="left" w:pos="992"/>
      </w:tabs>
      <w:ind w:left="992" w:hanging="567"/>
      <w:outlineLvl w:val="1"/>
    </w:pPr>
    <w:rPr>
      <w:rFonts w:ascii="@仿宋_GB2312" w:eastAsia="@仿宋_GB2312"/>
      <w:sz w:val="28"/>
      <w:szCs w:val="24"/>
    </w:rPr>
  </w:style>
  <w:style w:type="paragraph" w:customStyle="1" w:styleId="204">
    <w:name w:val="样式2"/>
    <w:basedOn w:val="17"/>
    <w:autoRedefine/>
    <w:qFormat/>
    <w:uiPriority w:val="0"/>
    <w:pPr>
      <w:adjustRightInd w:val="0"/>
      <w:spacing w:after="0" w:line="360" w:lineRule="auto"/>
      <w:ind w:left="491" w:leftChars="491" w:firstLine="0"/>
      <w:jc w:val="left"/>
    </w:pPr>
    <w:rPr>
      <w:kern w:val="0"/>
      <w:szCs w:val="20"/>
    </w:rPr>
  </w:style>
  <w:style w:type="paragraph" w:customStyle="1" w:styleId="205">
    <w:name w:val="样式15"/>
    <w:basedOn w:val="1"/>
    <w:autoRedefine/>
    <w:qFormat/>
    <w:uiPriority w:val="0"/>
    <w:pPr>
      <w:adjustRightInd w:val="0"/>
      <w:spacing w:beforeLines="20" w:line="360" w:lineRule="auto"/>
      <w:ind w:firstLine="715" w:firstLineChars="298"/>
      <w:jc w:val="left"/>
    </w:pPr>
    <w:rPr>
      <w:rFonts w:ascii="@仿宋_GB2312" w:eastAsia="@仿宋_GB2312"/>
      <w:kern w:val="0"/>
      <w:sz w:val="24"/>
      <w:szCs w:val="24"/>
    </w:rPr>
  </w:style>
  <w:style w:type="paragraph" w:customStyle="1" w:styleId="206">
    <w:name w:val="xl31"/>
    <w:basedOn w:val="1"/>
    <w:autoRedefine/>
    <w:qFormat/>
    <w:uiPriority w:val="0"/>
    <w:pPr>
      <w:widowControl/>
      <w:spacing w:before="100" w:beforeAutospacing="1" w:after="100" w:afterAutospacing="1"/>
      <w:jc w:val="center"/>
    </w:pPr>
    <w:rPr>
      <w:rFonts w:ascii="@仿宋_GB2312" w:hAnsi="@仿宋_GB2312"/>
      <w:b/>
      <w:bCs/>
      <w:kern w:val="0"/>
      <w:sz w:val="28"/>
      <w:szCs w:val="28"/>
    </w:rPr>
  </w:style>
  <w:style w:type="paragraph" w:customStyle="1" w:styleId="207">
    <w:name w:val="Normal_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08">
    <w:name w:val="Normal_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09">
    <w:name w:val="Normal_4"/>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0">
    <w:name w:val="Normal_5"/>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1">
    <w:name w:val="Normal_6"/>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2">
    <w:name w:val="Normal_7"/>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3">
    <w:name w:val="Normal_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4">
    <w:name w:val="Normal_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5">
    <w:name w:val="Normal_1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6">
    <w:name w:val="Normal_11"/>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7">
    <w:name w:val="Normal_1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8">
    <w:name w:val="Normal_1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19">
    <w:name w:val="Normal_14"/>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0">
    <w:name w:val="Normal_15"/>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1">
    <w:name w:val="Normal_16"/>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2">
    <w:name w:val="Normal_17"/>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3">
    <w:name w:val="Normal_1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4">
    <w:name w:val="Normal_1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5">
    <w:name w:val="Normal_2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6">
    <w:name w:val="Normal_21"/>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7">
    <w:name w:val="Normal_2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28">
    <w:name w:val="Normal_23"/>
    <w:autoRedefine/>
    <w:qFormat/>
    <w:uiPriority w:val="0"/>
    <w:pPr>
      <w:spacing w:before="120" w:after="240"/>
      <w:jc w:val="both"/>
    </w:pPr>
    <w:rPr>
      <w:rFonts w:ascii="Calibri" w:hAnsi="Calibri" w:eastAsia="Calibri" w:cs="Times New Roman"/>
      <w:sz w:val="22"/>
      <w:szCs w:val="22"/>
      <w:lang w:val="en-US" w:eastAsia="en-US" w:bidi="ar-SA"/>
    </w:rPr>
  </w:style>
  <w:style w:type="character" w:customStyle="1" w:styleId="229">
    <w:name w:val="正文文本 + Arial Unicode MS17"/>
    <w:autoRedefine/>
    <w:qFormat/>
    <w:uiPriority w:val="0"/>
    <w:rPr>
      <w:rFonts w:ascii="Arial Unicode MS" w:eastAsia="Arial Unicode MS" w:cs="Arial Unicode MS"/>
      <w:spacing w:val="16"/>
      <w:sz w:val="20"/>
      <w:szCs w:val="20"/>
      <w:lang w:bidi="ar-SA"/>
    </w:rPr>
  </w:style>
  <w:style w:type="paragraph" w:customStyle="1" w:styleId="230">
    <w:name w:val="Normal_24"/>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1">
    <w:name w:val="Normal_25"/>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2">
    <w:name w:val="Normal_26"/>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3">
    <w:name w:val="Normal_27"/>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4">
    <w:name w:val="Normal_3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5">
    <w:name w:val="Normal_3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6">
    <w:name w:val="Normal_4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7">
    <w:name w:val="Normal_41"/>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8">
    <w:name w:val="Normal_42"/>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39">
    <w:name w:val="Normal_4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0">
    <w:name w:val="Normal_44"/>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1">
    <w:name w:val="Normal_45"/>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2">
    <w:name w:val="Normal_46"/>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3">
    <w:name w:val="Normal_47"/>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4">
    <w:name w:val="Normal_4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5">
    <w:name w:val="Normal_4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6">
    <w:name w:val="Normal_5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7">
    <w:name w:val="Normal_53"/>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8">
    <w:name w:val="Normal_5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49">
    <w:name w:val="Normal_5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50">
    <w:name w:val="Normal_28"/>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51">
    <w:name w:val="Normal_29"/>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52">
    <w:name w:val="Normal_30"/>
    <w:autoRedefine/>
    <w:qFormat/>
    <w:uiPriority w:val="0"/>
    <w:pPr>
      <w:spacing w:before="120" w:after="240"/>
      <w:jc w:val="both"/>
    </w:pPr>
    <w:rPr>
      <w:rFonts w:ascii="Calibri" w:hAnsi="Calibri" w:eastAsia="Calibri" w:cs="Times New Roman"/>
      <w:sz w:val="22"/>
      <w:szCs w:val="22"/>
      <w:lang w:val="en-US" w:eastAsia="en-US" w:bidi="ar-SA"/>
    </w:rPr>
  </w:style>
  <w:style w:type="paragraph" w:customStyle="1" w:styleId="253">
    <w:name w:val="Normal_31"/>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4">
    <w:name w:val="Normal_32"/>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5">
    <w:name w:val="Normal_33"/>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6">
    <w:name w:val="Normal_34"/>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7">
    <w:name w:val="Normal_35"/>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8">
    <w:name w:val="Normal_36"/>
    <w:autoRedefine/>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259">
    <w:name w:val="Char Char Char Char Char Char Char Char Char Char1"/>
    <w:basedOn w:val="1"/>
    <w:autoRedefine/>
    <w:qFormat/>
    <w:uiPriority w:val="0"/>
    <w:rPr>
      <w:rFonts w:ascii="Tahoma" w:hAnsi="Tahoma" w:cs="仿宋_GB2312"/>
      <w:sz w:val="24"/>
    </w:rPr>
  </w:style>
  <w:style w:type="paragraph" w:customStyle="1" w:styleId="260">
    <w:name w:val="Char Char Char Char Char Char Char Char Char Char2"/>
    <w:basedOn w:val="1"/>
    <w:autoRedefine/>
    <w:qFormat/>
    <w:uiPriority w:val="0"/>
    <w:rPr>
      <w:rFonts w:ascii="Tahoma" w:hAnsi="Tahoma" w:cs="仿宋_GB2312"/>
      <w:sz w:val="24"/>
    </w:rPr>
  </w:style>
  <w:style w:type="paragraph" w:customStyle="1" w:styleId="261">
    <w:name w:val="Char Char Char Char Char Char Char Char Char Char3"/>
    <w:basedOn w:val="1"/>
    <w:autoRedefine/>
    <w:qFormat/>
    <w:uiPriority w:val="0"/>
    <w:rPr>
      <w:rFonts w:ascii="Tahoma" w:hAnsi="Tahoma" w:cs="仿宋_GB231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01C186-0E19-4327-A16E-E5521EBDF1D7}">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44</Pages>
  <Words>19233</Words>
  <Characters>20206</Characters>
  <Lines>263</Lines>
  <Paragraphs>74</Paragraphs>
  <TotalTime>3</TotalTime>
  <ScaleCrop>false</ScaleCrop>
  <LinksUpToDate>false</LinksUpToDate>
  <CharactersWithSpaces>21602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2020-07-22T15:48:00Z</dcterms:created>
  <dc:creator>Administrator</dc:creator>
  <cp:lastModifiedBy>Nv.sEai.Ay</cp:lastModifiedBy>
  <cp:lastPrinted>2024-01-03T09:05:00Z</cp:lastPrinted>
  <dcterms:modified xsi:type="dcterms:W3CDTF">2024-01-26T10:30:43Z</dcterms:modified>
  <cp:revision>469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9DBEFBCA8C6A41169D36E7B96C687486_13</vt:lpwstr>
  </property>
</Properties>
</file>